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B2" w:rsidRPr="00FB6E21" w:rsidRDefault="00BA17B2" w:rsidP="00A8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ind w:left="10" w:right="10"/>
        <w:jc w:val="center"/>
        <w:rPr>
          <w:rFonts w:ascii="Times New Roman" w:eastAsia="Times New Roman" w:hAnsi="Times New Roman"/>
          <w:smallCaps/>
          <w:sz w:val="28"/>
          <w:szCs w:val="24"/>
          <w:lang w:eastAsia="fr-FR"/>
        </w:rPr>
      </w:pPr>
      <w:r w:rsidRPr="00FB6E21">
        <w:rPr>
          <w:rFonts w:ascii="Times New Roman" w:eastAsia="Times New Roman" w:hAnsi="Times New Roman"/>
          <w:smallCaps/>
          <w:sz w:val="28"/>
          <w:szCs w:val="24"/>
          <w:lang w:eastAsia="fr-FR"/>
        </w:rPr>
        <w:t>Les souverainetés indigènes</w:t>
      </w:r>
    </w:p>
    <w:p w:rsidR="00BA17B2" w:rsidRPr="00FB6E21" w:rsidRDefault="00BA17B2" w:rsidP="00A8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ind w:left="10" w:right="10"/>
        <w:jc w:val="center"/>
        <w:rPr>
          <w:rFonts w:ascii="Times New Roman" w:eastAsia="Times New Roman" w:hAnsi="Times New Roman"/>
          <w:smallCaps/>
          <w:szCs w:val="24"/>
          <w:lang w:eastAsia="fr-FR"/>
        </w:rPr>
      </w:pPr>
      <w:r w:rsidRPr="00FB6E21">
        <w:rPr>
          <w:rFonts w:ascii="Times New Roman" w:eastAsia="Times New Roman" w:hAnsi="Times New Roman"/>
          <w:smallCaps/>
          <w:szCs w:val="24"/>
          <w:lang w:eastAsia="fr-FR"/>
        </w:rPr>
        <w:t xml:space="preserve">Royautés, principautés, républiques et empires autochtones dans les mondes atlantiques </w:t>
      </w:r>
      <w:r w:rsidR="00600E0E">
        <w:rPr>
          <w:rFonts w:ascii="Times New Roman" w:eastAsia="Times New Roman" w:hAnsi="Times New Roman"/>
          <w:smallCaps/>
          <w:szCs w:val="24"/>
          <w:lang w:eastAsia="fr-FR"/>
        </w:rPr>
        <w:t>(Amérique</w:t>
      </w:r>
      <w:r w:rsidRPr="00FB6E21">
        <w:rPr>
          <w:rFonts w:ascii="Times New Roman" w:eastAsia="Times New Roman" w:hAnsi="Times New Roman"/>
          <w:smallCaps/>
          <w:szCs w:val="24"/>
          <w:lang w:eastAsia="fr-FR"/>
        </w:rPr>
        <w:t xml:space="preserve"> et Afrique, XV</w:t>
      </w:r>
      <w:r w:rsidRPr="00FB6E21">
        <w:rPr>
          <w:rFonts w:ascii="Times New Roman" w:eastAsia="Times New Roman" w:hAnsi="Times New Roman"/>
          <w:szCs w:val="24"/>
          <w:vertAlign w:val="superscript"/>
          <w:lang w:eastAsia="fr-FR"/>
        </w:rPr>
        <w:t>e</w:t>
      </w:r>
      <w:r w:rsidRPr="00FB6E21">
        <w:rPr>
          <w:rFonts w:ascii="Times New Roman" w:eastAsia="Times New Roman" w:hAnsi="Times New Roman"/>
          <w:smallCaps/>
          <w:szCs w:val="24"/>
          <w:lang w:eastAsia="fr-FR"/>
        </w:rPr>
        <w:t>-XIX</w:t>
      </w:r>
      <w:r w:rsidRPr="00FB6E21">
        <w:rPr>
          <w:rFonts w:ascii="Times New Roman" w:eastAsia="Times New Roman" w:hAnsi="Times New Roman"/>
          <w:szCs w:val="24"/>
          <w:vertAlign w:val="superscript"/>
          <w:lang w:eastAsia="fr-FR"/>
        </w:rPr>
        <w:t>e</w:t>
      </w:r>
      <w:r w:rsidRPr="00FB6E21">
        <w:rPr>
          <w:rFonts w:ascii="Times New Roman" w:eastAsia="Times New Roman" w:hAnsi="Times New Roman"/>
          <w:smallCaps/>
          <w:szCs w:val="24"/>
          <w:lang w:eastAsia="fr-FR"/>
        </w:rPr>
        <w:t xml:space="preserve"> siècle)</w:t>
      </w:r>
    </w:p>
    <w:p w:rsidR="00BA17B2" w:rsidRPr="00FB6E21" w:rsidRDefault="00BA17B2" w:rsidP="00A8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ind w:left="10" w:right="10"/>
        <w:jc w:val="center"/>
        <w:rPr>
          <w:rFonts w:ascii="Times New Roman" w:eastAsia="Times New Roman" w:hAnsi="Times New Roman"/>
          <w:sz w:val="24"/>
          <w:szCs w:val="24"/>
          <w:lang w:eastAsia="fr-FR"/>
        </w:rPr>
      </w:pPr>
    </w:p>
    <w:p w:rsidR="003A6356" w:rsidRPr="00FB6E21" w:rsidRDefault="003A6356" w:rsidP="00A82E96">
      <w:pPr>
        <w:jc w:val="both"/>
        <w:rPr>
          <w:rFonts w:ascii="Times New Roman" w:eastAsia="Batang" w:hAnsi="Times New Roman"/>
          <w:sz w:val="24"/>
        </w:rPr>
      </w:pPr>
    </w:p>
    <w:p w:rsidR="00BA17B2" w:rsidRPr="00FB6E21" w:rsidRDefault="00BA17B2" w:rsidP="00A82E96">
      <w:pPr>
        <w:jc w:val="both"/>
        <w:rPr>
          <w:rFonts w:ascii="Times New Roman" w:eastAsia="Batang" w:hAnsi="Times New Roman"/>
          <w:sz w:val="24"/>
        </w:rPr>
      </w:pPr>
      <w:r w:rsidRPr="00FB6E21">
        <w:rPr>
          <w:rFonts w:ascii="Times New Roman" w:eastAsia="Batang" w:hAnsi="Times New Roman"/>
          <w:sz w:val="24"/>
        </w:rPr>
        <w:t>L’intérêt suscité par la question de la souveraineté indigène ne serait-il jamais autre chose que le goût de l’historie</w:t>
      </w:r>
      <w:r w:rsidR="00620939">
        <w:rPr>
          <w:rFonts w:ascii="Times New Roman" w:eastAsia="Batang" w:hAnsi="Times New Roman"/>
          <w:sz w:val="24"/>
        </w:rPr>
        <w:t>n envers</w:t>
      </w:r>
      <w:r w:rsidRPr="00FB6E21">
        <w:rPr>
          <w:rFonts w:ascii="Times New Roman" w:eastAsia="Batang" w:hAnsi="Times New Roman"/>
          <w:sz w:val="24"/>
        </w:rPr>
        <w:t xml:space="preserve"> « la beauté du mort » pour emprunter cette expression à Michel de Certeau évoquant</w:t>
      </w:r>
      <w:r w:rsidR="00620939">
        <w:rPr>
          <w:rFonts w:ascii="Times New Roman" w:eastAsia="Batang" w:hAnsi="Times New Roman"/>
          <w:sz w:val="24"/>
        </w:rPr>
        <w:t>,</w:t>
      </w:r>
      <w:r w:rsidRPr="00FB6E21">
        <w:rPr>
          <w:rFonts w:ascii="Times New Roman" w:eastAsia="Batang" w:hAnsi="Times New Roman"/>
          <w:sz w:val="24"/>
        </w:rPr>
        <w:t xml:space="preserve"> </w:t>
      </w:r>
      <w:r w:rsidR="00620939">
        <w:rPr>
          <w:rFonts w:ascii="Times New Roman" w:eastAsia="Batang" w:hAnsi="Times New Roman"/>
          <w:sz w:val="24"/>
        </w:rPr>
        <w:t xml:space="preserve">en 1970, </w:t>
      </w:r>
      <w:r w:rsidRPr="00FB6E21">
        <w:rPr>
          <w:rFonts w:ascii="Times New Roman" w:eastAsia="Batang" w:hAnsi="Times New Roman"/>
          <w:sz w:val="24"/>
        </w:rPr>
        <w:t>les travaux des hommes du XIX</w:t>
      </w:r>
      <w:r w:rsidRPr="00FB6E21">
        <w:rPr>
          <w:rFonts w:ascii="Times New Roman" w:eastAsia="Batang" w:hAnsi="Times New Roman"/>
          <w:sz w:val="24"/>
          <w:vertAlign w:val="superscript"/>
        </w:rPr>
        <w:t>e</w:t>
      </w:r>
      <w:r w:rsidR="00620939">
        <w:rPr>
          <w:rFonts w:ascii="Times New Roman" w:eastAsia="Batang" w:hAnsi="Times New Roman"/>
          <w:sz w:val="24"/>
        </w:rPr>
        <w:t xml:space="preserve"> siècle et ceux de s</w:t>
      </w:r>
      <w:r w:rsidRPr="00FB6E21">
        <w:rPr>
          <w:rFonts w:ascii="Times New Roman" w:eastAsia="Batang" w:hAnsi="Times New Roman"/>
          <w:sz w:val="24"/>
        </w:rPr>
        <w:t>es contemporains sur la culture populaire et le folklore</w:t>
      </w:r>
      <w:r w:rsidR="00CB47E7" w:rsidRPr="00FB6E21">
        <w:rPr>
          <w:rFonts w:ascii="Times New Roman" w:eastAsia="Batang" w:hAnsi="Times New Roman"/>
          <w:sz w:val="24"/>
        </w:rPr>
        <w:t> ?</w:t>
      </w:r>
      <w:r w:rsidRPr="00FB6E21">
        <w:rPr>
          <w:rFonts w:ascii="Times New Roman" w:eastAsia="Batang" w:hAnsi="Times New Roman"/>
          <w:sz w:val="24"/>
        </w:rPr>
        <w:t xml:space="preserve"> Il écrivait, en effet, que « la </w:t>
      </w:r>
      <w:r w:rsidRPr="00FB6E21">
        <w:rPr>
          <w:rFonts w:ascii="Times New Roman" w:eastAsia="Batang" w:hAnsi="Times New Roman"/>
          <w:i/>
          <w:sz w:val="24"/>
        </w:rPr>
        <w:t>culture populaire</w:t>
      </w:r>
      <w:r w:rsidRPr="00FB6E21">
        <w:rPr>
          <w:rFonts w:ascii="Times New Roman" w:eastAsia="Batang" w:hAnsi="Times New Roman"/>
          <w:sz w:val="24"/>
        </w:rPr>
        <w:t xml:space="preserve"> suppose une opération qui ne s’avoue pas. Il a fallu qu’elle fût censurée pour être étudiée. Elle est devenue alors un objet d’intérêt parce que son danger était éliminé ».</w:t>
      </w:r>
    </w:p>
    <w:p w:rsidR="0065317D" w:rsidRPr="00FB6E21" w:rsidRDefault="00BA17B2" w:rsidP="00A82E96">
      <w:pPr>
        <w:jc w:val="both"/>
        <w:rPr>
          <w:rFonts w:ascii="Times New Roman" w:hAnsi="Times New Roman"/>
          <w:sz w:val="24"/>
          <w:szCs w:val="24"/>
        </w:rPr>
      </w:pPr>
      <w:r w:rsidRPr="00FB6E21">
        <w:rPr>
          <w:rFonts w:ascii="Times New Roman" w:eastAsia="Batang" w:hAnsi="Times New Roman"/>
          <w:sz w:val="24"/>
        </w:rPr>
        <w:t xml:space="preserve">La souveraineté indigène </w:t>
      </w:r>
      <w:r w:rsidR="001A2308">
        <w:rPr>
          <w:rFonts w:ascii="Times New Roman" w:eastAsia="Batang" w:hAnsi="Times New Roman"/>
          <w:sz w:val="24"/>
        </w:rPr>
        <w:t xml:space="preserve">perçue </w:t>
      </w:r>
      <w:r w:rsidR="00CB47E7" w:rsidRPr="00FB6E21">
        <w:rPr>
          <w:rFonts w:ascii="Times New Roman" w:eastAsia="Batang" w:hAnsi="Times New Roman"/>
          <w:sz w:val="24"/>
        </w:rPr>
        <w:t xml:space="preserve">donc </w:t>
      </w:r>
      <w:r w:rsidRPr="00FB6E21">
        <w:rPr>
          <w:rFonts w:ascii="Times New Roman" w:eastAsia="Batang" w:hAnsi="Times New Roman"/>
          <w:sz w:val="24"/>
        </w:rPr>
        <w:t xml:space="preserve">comme un </w:t>
      </w:r>
      <w:r w:rsidRPr="00FB6E21">
        <w:rPr>
          <w:rFonts w:ascii="Times New Roman" w:eastAsia="Batang" w:hAnsi="Times New Roman"/>
          <w:i/>
          <w:sz w:val="24"/>
        </w:rPr>
        <w:t>danger</w:t>
      </w:r>
      <w:r w:rsidRPr="00FB6E21">
        <w:rPr>
          <w:rFonts w:ascii="Times New Roman" w:eastAsia="Batang" w:hAnsi="Times New Roman"/>
          <w:sz w:val="24"/>
        </w:rPr>
        <w:t xml:space="preserve"> en effet car elle est, </w:t>
      </w:r>
      <w:r w:rsidRPr="00FB6E21">
        <w:rPr>
          <w:rFonts w:ascii="Times New Roman" w:eastAsia="Batang" w:hAnsi="Times New Roman"/>
          <w:i/>
          <w:sz w:val="24"/>
        </w:rPr>
        <w:t>in fine</w:t>
      </w:r>
      <w:r w:rsidRPr="00FB6E21">
        <w:rPr>
          <w:rFonts w:ascii="Times New Roman" w:eastAsia="Batang" w:hAnsi="Times New Roman"/>
          <w:sz w:val="24"/>
        </w:rPr>
        <w:t>, un obstacle à la politique de c</w:t>
      </w:r>
      <w:r w:rsidR="00680462">
        <w:rPr>
          <w:rFonts w:ascii="Times New Roman" w:eastAsia="Batang" w:hAnsi="Times New Roman"/>
          <w:sz w:val="24"/>
        </w:rPr>
        <w:t>onquête alors menée durant ces</w:t>
      </w:r>
      <w:r w:rsidRPr="00FB6E21">
        <w:rPr>
          <w:rFonts w:ascii="Times New Roman" w:eastAsia="Batang" w:hAnsi="Times New Roman"/>
          <w:sz w:val="24"/>
        </w:rPr>
        <w:t xml:space="preserve"> </w:t>
      </w:r>
      <w:r w:rsidR="00680462">
        <w:rPr>
          <w:rFonts w:ascii="Times New Roman" w:eastAsia="Batang" w:hAnsi="Times New Roman"/>
          <w:sz w:val="24"/>
        </w:rPr>
        <w:t xml:space="preserve">cinq </w:t>
      </w:r>
      <w:r w:rsidRPr="00FB6E21">
        <w:rPr>
          <w:rFonts w:ascii="Times New Roman" w:eastAsia="Batang" w:hAnsi="Times New Roman"/>
          <w:sz w:val="24"/>
        </w:rPr>
        <w:t>siècles par les puissances européennes atlantiques (Provi</w:t>
      </w:r>
      <w:r w:rsidR="00CB47E7" w:rsidRPr="00FB6E21">
        <w:rPr>
          <w:rFonts w:ascii="Times New Roman" w:eastAsia="Batang" w:hAnsi="Times New Roman"/>
          <w:sz w:val="24"/>
        </w:rPr>
        <w:t xml:space="preserve">nces-Unies et Suède comprises) depuis la </w:t>
      </w:r>
      <w:r w:rsidR="00CB47E7" w:rsidRPr="00FB6E21">
        <w:rPr>
          <w:rFonts w:ascii="Times New Roman" w:eastAsia="Batang" w:hAnsi="Times New Roman"/>
          <w:sz w:val="24"/>
          <w:szCs w:val="24"/>
        </w:rPr>
        <w:t xml:space="preserve">grande scène inaugurale du 12 octobre 1492 quand </w:t>
      </w:r>
      <w:r w:rsidR="00CB47E7" w:rsidRPr="00FB6E21">
        <w:rPr>
          <w:rFonts w:ascii="Times New Roman" w:hAnsi="Times New Roman"/>
          <w:sz w:val="24"/>
          <w:szCs w:val="24"/>
        </w:rPr>
        <w:t xml:space="preserve">Christophe Colomb </w:t>
      </w:r>
      <w:r w:rsidR="00D45A0F">
        <w:rPr>
          <w:rFonts w:ascii="Times New Roman" w:hAnsi="Times New Roman"/>
          <w:sz w:val="24"/>
          <w:szCs w:val="24"/>
        </w:rPr>
        <w:t>impose</w:t>
      </w:r>
      <w:r w:rsidR="00CB47E7" w:rsidRPr="00FB6E21">
        <w:rPr>
          <w:rFonts w:ascii="Times New Roman" w:hAnsi="Times New Roman"/>
          <w:sz w:val="24"/>
          <w:szCs w:val="24"/>
        </w:rPr>
        <w:t xml:space="preserve"> la souveraineté espagnole, </w:t>
      </w:r>
      <w:r w:rsidR="00D45A0F">
        <w:rPr>
          <w:rFonts w:ascii="Times New Roman" w:hAnsi="Times New Roman"/>
          <w:sz w:val="24"/>
          <w:szCs w:val="24"/>
        </w:rPr>
        <w:t>supplantan</w:t>
      </w:r>
      <w:r w:rsidR="00CB47E7" w:rsidRPr="00FB6E21">
        <w:rPr>
          <w:rFonts w:ascii="Times New Roman" w:hAnsi="Times New Roman"/>
          <w:sz w:val="24"/>
          <w:szCs w:val="24"/>
        </w:rPr>
        <w:t xml:space="preserve">t une quelconque souveraineté en ces îles. Dès lors, les puissances européennes cherchent à justifier la souveraineté sur une terre par sa découverte ou son appropriation, qui se </w:t>
      </w:r>
      <w:r w:rsidR="00620939">
        <w:rPr>
          <w:rFonts w:ascii="Times New Roman" w:hAnsi="Times New Roman"/>
          <w:sz w:val="24"/>
          <w:szCs w:val="24"/>
        </w:rPr>
        <w:t>fait progressivement au cours des</w:t>
      </w:r>
      <w:r w:rsidR="00CB47E7" w:rsidRPr="00FB6E21">
        <w:rPr>
          <w:rFonts w:ascii="Times New Roman" w:hAnsi="Times New Roman"/>
          <w:sz w:val="24"/>
          <w:szCs w:val="24"/>
        </w:rPr>
        <w:t xml:space="preserve"> siècle</w:t>
      </w:r>
      <w:r w:rsidR="00620939">
        <w:rPr>
          <w:rFonts w:ascii="Times New Roman" w:hAnsi="Times New Roman"/>
          <w:sz w:val="24"/>
          <w:szCs w:val="24"/>
        </w:rPr>
        <w:t>s</w:t>
      </w:r>
      <w:r w:rsidR="00CB47E7" w:rsidRPr="00FB6E21">
        <w:rPr>
          <w:rFonts w:ascii="Times New Roman" w:hAnsi="Times New Roman"/>
          <w:sz w:val="24"/>
          <w:szCs w:val="24"/>
        </w:rPr>
        <w:t xml:space="preserve"> suivant les premiers contacts en Amérique.</w:t>
      </w:r>
    </w:p>
    <w:p w:rsidR="00BA17B2" w:rsidRPr="00B81EDA" w:rsidRDefault="00BA17B2" w:rsidP="00A82E96">
      <w:pPr>
        <w:jc w:val="both"/>
        <w:rPr>
          <w:rFonts w:ascii="Times New Roman" w:hAnsi="Times New Roman"/>
          <w:sz w:val="24"/>
          <w:szCs w:val="24"/>
        </w:rPr>
      </w:pPr>
      <w:r w:rsidRPr="00B81EDA">
        <w:rPr>
          <w:rFonts w:ascii="Times New Roman" w:eastAsia="Batang" w:hAnsi="Times New Roman"/>
          <w:sz w:val="24"/>
          <w:szCs w:val="24"/>
        </w:rPr>
        <w:t>Une menace dont l’</w:t>
      </w:r>
      <w:r w:rsidRPr="00B81EDA">
        <w:rPr>
          <w:rFonts w:ascii="Times New Roman" w:eastAsia="Batang" w:hAnsi="Times New Roman"/>
          <w:i/>
          <w:sz w:val="24"/>
          <w:szCs w:val="24"/>
        </w:rPr>
        <w:t>élimination</w:t>
      </w:r>
      <w:r w:rsidRPr="00B81EDA">
        <w:rPr>
          <w:rFonts w:ascii="Times New Roman" w:eastAsia="Batang" w:hAnsi="Times New Roman"/>
          <w:sz w:val="24"/>
          <w:szCs w:val="24"/>
        </w:rPr>
        <w:t xml:space="preserve"> (ou </w:t>
      </w:r>
      <w:r w:rsidR="0065317D" w:rsidRPr="00B81EDA">
        <w:rPr>
          <w:rFonts w:ascii="Times New Roman" w:eastAsia="Batang" w:hAnsi="Times New Roman"/>
          <w:sz w:val="24"/>
          <w:szCs w:val="24"/>
        </w:rPr>
        <w:t>« </w:t>
      </w:r>
      <w:r w:rsidRPr="00B81EDA">
        <w:rPr>
          <w:rFonts w:ascii="Times New Roman" w:eastAsia="Batang" w:hAnsi="Times New Roman"/>
          <w:sz w:val="24"/>
          <w:szCs w:val="24"/>
        </w:rPr>
        <w:t>l’usurpation</w:t>
      </w:r>
      <w:r w:rsidR="0065317D" w:rsidRPr="00B81EDA">
        <w:rPr>
          <w:rFonts w:ascii="Times New Roman" w:eastAsia="Batang" w:hAnsi="Times New Roman"/>
          <w:sz w:val="24"/>
          <w:szCs w:val="24"/>
        </w:rPr>
        <w:t> »</w:t>
      </w:r>
      <w:r w:rsidR="001A2308" w:rsidRPr="00B81EDA">
        <w:rPr>
          <w:rFonts w:ascii="Times New Roman" w:eastAsia="Batang" w:hAnsi="Times New Roman"/>
          <w:sz w:val="24"/>
          <w:szCs w:val="24"/>
        </w:rPr>
        <w:t xml:space="preserve"> </w:t>
      </w:r>
      <w:r w:rsidR="00D45A0F">
        <w:rPr>
          <w:rFonts w:ascii="Times New Roman" w:eastAsia="Batang" w:hAnsi="Times New Roman"/>
          <w:sz w:val="24"/>
          <w:szCs w:val="24"/>
        </w:rPr>
        <w:t>selon le</w:t>
      </w:r>
      <w:r w:rsidR="001A2308" w:rsidRPr="00B81EDA">
        <w:rPr>
          <w:rFonts w:ascii="Times New Roman" w:eastAsia="Batang" w:hAnsi="Times New Roman"/>
          <w:sz w:val="24"/>
          <w:szCs w:val="24"/>
        </w:rPr>
        <w:t xml:space="preserve"> juriste</w:t>
      </w:r>
      <w:r w:rsidRPr="00B81EDA">
        <w:rPr>
          <w:rFonts w:ascii="Times New Roman" w:eastAsia="Batang" w:hAnsi="Times New Roman"/>
          <w:sz w:val="24"/>
          <w:szCs w:val="24"/>
        </w:rPr>
        <w:t xml:space="preserve"> Michel</w:t>
      </w:r>
      <w:r w:rsidRPr="00B81EDA">
        <w:rPr>
          <w:rFonts w:ascii="Times New Roman" w:eastAsia="Batang" w:hAnsi="Times New Roman"/>
          <w:sz w:val="24"/>
        </w:rPr>
        <w:t xml:space="preserve"> Morin</w:t>
      </w:r>
      <w:r w:rsidR="00534654" w:rsidRPr="00B81EDA">
        <w:rPr>
          <w:rFonts w:ascii="Times New Roman" w:eastAsia="Batang" w:hAnsi="Times New Roman"/>
          <w:sz w:val="24"/>
        </w:rPr>
        <w:t xml:space="preserve"> en 1997</w:t>
      </w:r>
      <w:r w:rsidRPr="00B81EDA">
        <w:rPr>
          <w:rFonts w:ascii="Times New Roman" w:eastAsia="Batang" w:hAnsi="Times New Roman"/>
          <w:sz w:val="24"/>
        </w:rPr>
        <w:t>) procède d’un double combat mené par les armes</w:t>
      </w:r>
      <w:r w:rsidR="00A82E96" w:rsidRPr="00B81EDA">
        <w:rPr>
          <w:rFonts w:ascii="Times New Roman" w:eastAsia="Batang" w:hAnsi="Times New Roman"/>
          <w:sz w:val="24"/>
        </w:rPr>
        <w:t>,</w:t>
      </w:r>
      <w:r w:rsidRPr="00B81EDA">
        <w:rPr>
          <w:rFonts w:ascii="Times New Roman" w:eastAsia="Batang" w:hAnsi="Times New Roman"/>
          <w:sz w:val="24"/>
        </w:rPr>
        <w:t xml:space="preserve"> par les plumes </w:t>
      </w:r>
      <w:r w:rsidR="00A82E96" w:rsidRPr="00B81EDA">
        <w:rPr>
          <w:rFonts w:ascii="Times New Roman" w:eastAsia="Batang" w:hAnsi="Times New Roman"/>
          <w:sz w:val="24"/>
        </w:rPr>
        <w:t xml:space="preserve">et par les presses </w:t>
      </w:r>
      <w:r w:rsidRPr="00B81EDA">
        <w:rPr>
          <w:rFonts w:ascii="Times New Roman" w:eastAsia="Batang" w:hAnsi="Times New Roman"/>
          <w:sz w:val="24"/>
        </w:rPr>
        <w:t>tant semble irrésistible la volonté de faire de ces terres étrangères des territoires vierges frappés d</w:t>
      </w:r>
      <w:r w:rsidR="001A2308" w:rsidRPr="00B81EDA">
        <w:rPr>
          <w:rFonts w:ascii="Times New Roman" w:eastAsia="Batang" w:hAnsi="Times New Roman"/>
          <w:sz w:val="24"/>
        </w:rPr>
        <w:t xml:space="preserve">u sceau du dénuement. Des </w:t>
      </w:r>
      <w:r w:rsidR="001A2308" w:rsidRPr="00B81EDA">
        <w:rPr>
          <w:rFonts w:ascii="Times New Roman" w:eastAsia="Batang" w:hAnsi="Times New Roman"/>
          <w:i/>
          <w:sz w:val="24"/>
        </w:rPr>
        <w:t>terra nu</w:t>
      </w:r>
      <w:r w:rsidR="00A5560A" w:rsidRPr="00B81EDA">
        <w:rPr>
          <w:rFonts w:ascii="Times New Roman" w:eastAsia="Batang" w:hAnsi="Times New Roman"/>
          <w:i/>
          <w:sz w:val="24"/>
        </w:rPr>
        <w:t>l</w:t>
      </w:r>
      <w:r w:rsidR="001A2308" w:rsidRPr="00B81EDA">
        <w:rPr>
          <w:rFonts w:ascii="Times New Roman" w:eastAsia="Batang" w:hAnsi="Times New Roman"/>
          <w:i/>
          <w:sz w:val="24"/>
        </w:rPr>
        <w:t>lius</w:t>
      </w:r>
      <w:r w:rsidR="001A2308" w:rsidRPr="00B81EDA">
        <w:rPr>
          <w:rFonts w:ascii="Times New Roman" w:eastAsia="Batang" w:hAnsi="Times New Roman"/>
          <w:sz w:val="24"/>
        </w:rPr>
        <w:t xml:space="preserve"> présentées si désertes</w:t>
      </w:r>
      <w:r w:rsidRPr="00B81EDA">
        <w:rPr>
          <w:rFonts w:ascii="Times New Roman" w:eastAsia="Batang" w:hAnsi="Times New Roman"/>
          <w:sz w:val="24"/>
        </w:rPr>
        <w:t xml:space="preserve"> que même la belle lucidité d’un Montaigne sera prise en défaut</w:t>
      </w:r>
      <w:r w:rsidR="008427CD" w:rsidRPr="00B81EDA">
        <w:rPr>
          <w:rFonts w:ascii="Times New Roman" w:eastAsia="Batang" w:hAnsi="Times New Roman"/>
          <w:sz w:val="24"/>
        </w:rPr>
        <w:t xml:space="preserve">, reprenant, </w:t>
      </w:r>
      <w:r w:rsidR="00CB47E7" w:rsidRPr="00B81EDA">
        <w:rPr>
          <w:rFonts w:ascii="Times New Roman" w:eastAsia="Batang" w:hAnsi="Times New Roman"/>
          <w:sz w:val="24"/>
        </w:rPr>
        <w:t>dans l’essai « </w:t>
      </w:r>
      <w:r w:rsidRPr="00B81EDA">
        <w:rPr>
          <w:rFonts w:ascii="Times New Roman" w:hAnsi="Times New Roman"/>
          <w:sz w:val="24"/>
          <w:szCs w:val="24"/>
        </w:rPr>
        <w:t>Des cannibales » (</w:t>
      </w:r>
      <w:r w:rsidRPr="00B81EDA">
        <w:rPr>
          <w:rFonts w:ascii="Times New Roman" w:hAnsi="Times New Roman"/>
          <w:i/>
          <w:sz w:val="24"/>
          <w:szCs w:val="24"/>
        </w:rPr>
        <w:t>Essais</w:t>
      </w:r>
      <w:r w:rsidR="00CB47E7" w:rsidRPr="00B81EDA">
        <w:rPr>
          <w:rFonts w:ascii="Times New Roman" w:hAnsi="Times New Roman"/>
          <w:sz w:val="24"/>
          <w:szCs w:val="24"/>
        </w:rPr>
        <w:t>, I, 31)</w:t>
      </w:r>
      <w:r w:rsidR="008427CD" w:rsidRPr="00B81EDA">
        <w:rPr>
          <w:rFonts w:ascii="Times New Roman" w:hAnsi="Times New Roman"/>
          <w:sz w:val="24"/>
          <w:szCs w:val="24"/>
        </w:rPr>
        <w:t>,</w:t>
      </w:r>
      <w:r w:rsidRPr="00B81EDA">
        <w:rPr>
          <w:rFonts w:ascii="Times New Roman" w:hAnsi="Times New Roman"/>
          <w:sz w:val="24"/>
          <w:szCs w:val="24"/>
        </w:rPr>
        <w:t xml:space="preserve"> les </w:t>
      </w:r>
      <w:r w:rsidRPr="00B81EDA">
        <w:rPr>
          <w:rFonts w:ascii="Times New Roman" w:hAnsi="Times New Roman"/>
          <w:i/>
          <w:sz w:val="24"/>
          <w:szCs w:val="24"/>
        </w:rPr>
        <w:t>topoï</w:t>
      </w:r>
      <w:r w:rsidRPr="00B81EDA">
        <w:rPr>
          <w:rFonts w:ascii="Times New Roman" w:hAnsi="Times New Roman"/>
          <w:sz w:val="24"/>
          <w:szCs w:val="24"/>
        </w:rPr>
        <w:t xml:space="preserve"> du temps sur la nudité américaine </w:t>
      </w:r>
      <w:r w:rsidR="001A2308" w:rsidRPr="00B81EDA">
        <w:rPr>
          <w:rFonts w:ascii="Times New Roman" w:hAnsi="Times New Roman"/>
          <w:sz w:val="24"/>
          <w:szCs w:val="24"/>
        </w:rPr>
        <w:t xml:space="preserve">– </w:t>
      </w:r>
      <w:r w:rsidRPr="00B81EDA">
        <w:rPr>
          <w:rFonts w:ascii="Times New Roman" w:hAnsi="Times New Roman"/>
          <w:sz w:val="24"/>
          <w:szCs w:val="24"/>
        </w:rPr>
        <w:t xml:space="preserve">largement diffusés au travers des éditions des </w:t>
      </w:r>
      <w:r w:rsidRPr="00B81EDA">
        <w:rPr>
          <w:rFonts w:ascii="Times New Roman" w:hAnsi="Times New Roman"/>
          <w:i/>
          <w:sz w:val="24"/>
          <w:szCs w:val="24"/>
        </w:rPr>
        <w:t>Décades</w:t>
      </w:r>
      <w:r w:rsidRPr="00B81EDA">
        <w:rPr>
          <w:rFonts w:ascii="Times New Roman" w:hAnsi="Times New Roman"/>
          <w:sz w:val="24"/>
          <w:szCs w:val="24"/>
        </w:rPr>
        <w:t xml:space="preserve"> de Pierre Martyr d’Anghiera</w:t>
      </w:r>
      <w:r w:rsidR="001E2BB1" w:rsidRPr="00B81EDA">
        <w:rPr>
          <w:rFonts w:ascii="Times New Roman" w:hAnsi="Times New Roman"/>
          <w:sz w:val="24"/>
          <w:szCs w:val="24"/>
        </w:rPr>
        <w:t>.</w:t>
      </w:r>
    </w:p>
    <w:p w:rsidR="0065317D" w:rsidRPr="00B81EDA" w:rsidRDefault="00BA17B2" w:rsidP="00A82E96">
      <w:pPr>
        <w:jc w:val="both"/>
        <w:rPr>
          <w:rFonts w:ascii="Times New Roman" w:hAnsi="Times New Roman"/>
          <w:sz w:val="24"/>
        </w:rPr>
      </w:pPr>
      <w:r w:rsidRPr="00B81EDA">
        <w:rPr>
          <w:rFonts w:ascii="Times New Roman" w:hAnsi="Times New Roman"/>
          <w:sz w:val="24"/>
          <w:szCs w:val="24"/>
        </w:rPr>
        <w:t xml:space="preserve">Toutefois la souveraineté indigène ne se réduit pas à cette propice absence et les explorateurs européens n’auront de cesse, pour </w:t>
      </w:r>
      <w:r w:rsidR="00FB6E21" w:rsidRPr="00B81EDA">
        <w:rPr>
          <w:rFonts w:ascii="Times New Roman" w:hAnsi="Times New Roman"/>
          <w:sz w:val="24"/>
          <w:szCs w:val="24"/>
        </w:rPr>
        <w:t>la plupart</w:t>
      </w:r>
      <w:r w:rsidRPr="00B81EDA">
        <w:rPr>
          <w:rFonts w:ascii="Times New Roman" w:hAnsi="Times New Roman"/>
          <w:sz w:val="24"/>
          <w:szCs w:val="24"/>
        </w:rPr>
        <w:t xml:space="preserve"> d’entre eux, de rencont</w:t>
      </w:r>
      <w:r w:rsidR="008427CD" w:rsidRPr="00B81EDA">
        <w:rPr>
          <w:rFonts w:ascii="Times New Roman" w:hAnsi="Times New Roman"/>
          <w:sz w:val="24"/>
          <w:szCs w:val="24"/>
        </w:rPr>
        <w:t>rer des « rois »</w:t>
      </w:r>
      <w:r w:rsidRPr="00B81EDA">
        <w:rPr>
          <w:rFonts w:ascii="Times New Roman" w:hAnsi="Times New Roman"/>
          <w:sz w:val="24"/>
          <w:szCs w:val="24"/>
        </w:rPr>
        <w:t xml:space="preserve">, de poursuivre </w:t>
      </w:r>
      <w:r w:rsidR="00757825">
        <w:rPr>
          <w:rFonts w:ascii="Times New Roman" w:hAnsi="Times New Roman"/>
          <w:sz w:val="24"/>
          <w:szCs w:val="24"/>
        </w:rPr>
        <w:t xml:space="preserve">des chimères, </w:t>
      </w:r>
      <w:r w:rsidRPr="00B81EDA">
        <w:rPr>
          <w:rFonts w:ascii="Times New Roman" w:hAnsi="Times New Roman"/>
          <w:sz w:val="24"/>
          <w:szCs w:val="24"/>
        </w:rPr>
        <w:t>quand ils ne buttent pas, un temps, sur de solides empires au Mexique et au Pérou dont ils peuvent moins nier la souveraineté qu’ils espèrent, précisément, la soumettre aux vrais rois, espagnols et chrétiens, ou de manière plus modeste, celle par exemple des Algonquins de l’Amérique française</w:t>
      </w:r>
      <w:r w:rsidR="00757825">
        <w:rPr>
          <w:rFonts w:ascii="Times New Roman" w:hAnsi="Times New Roman"/>
          <w:sz w:val="24"/>
          <w:szCs w:val="24"/>
        </w:rPr>
        <w:t>, alliés de</w:t>
      </w:r>
      <w:r w:rsidRPr="00B81EDA">
        <w:rPr>
          <w:rFonts w:ascii="Times New Roman" w:hAnsi="Times New Roman"/>
          <w:sz w:val="24"/>
          <w:szCs w:val="24"/>
        </w:rPr>
        <w:t xml:space="preserve"> Samuel </w:t>
      </w:r>
      <w:r w:rsidR="001A2308" w:rsidRPr="00B81EDA">
        <w:rPr>
          <w:rFonts w:ascii="Times New Roman" w:hAnsi="Times New Roman"/>
          <w:sz w:val="24"/>
          <w:szCs w:val="24"/>
        </w:rPr>
        <w:t xml:space="preserve">de </w:t>
      </w:r>
      <w:r w:rsidRPr="00B81EDA">
        <w:rPr>
          <w:rFonts w:ascii="Times New Roman" w:hAnsi="Times New Roman"/>
          <w:sz w:val="24"/>
          <w:szCs w:val="24"/>
        </w:rPr>
        <w:t xml:space="preserve">Champlain. </w:t>
      </w:r>
      <w:r w:rsidR="00346433" w:rsidRPr="00B81EDA">
        <w:rPr>
          <w:rFonts w:ascii="Times New Roman" w:hAnsi="Times New Roman"/>
          <w:sz w:val="24"/>
        </w:rPr>
        <w:t xml:space="preserve">De ces expériences naissent des </w:t>
      </w:r>
      <w:r w:rsidR="00F25137" w:rsidRPr="00B81EDA">
        <w:rPr>
          <w:rFonts w:ascii="Times New Roman" w:hAnsi="Times New Roman"/>
          <w:sz w:val="24"/>
        </w:rPr>
        <w:t>images saisissantes alors d’une souveraineté indigène chahutée d’un bout à l’autre d’un large spectre allant de sa destruction sous des modalités diverses à sa préservation ou sa recomposition ambigüe en passant par son ignorance et la négligence de ses réalités.</w:t>
      </w:r>
    </w:p>
    <w:p w:rsidR="00F25137" w:rsidRPr="00FB6E21" w:rsidRDefault="00D51C59" w:rsidP="00A82E96">
      <w:pPr>
        <w:jc w:val="both"/>
        <w:rPr>
          <w:rFonts w:ascii="Times New Roman" w:hAnsi="Times New Roman"/>
          <w:bCs/>
          <w:sz w:val="24"/>
        </w:rPr>
      </w:pPr>
      <w:r>
        <w:rPr>
          <w:rFonts w:ascii="Times New Roman" w:hAnsi="Times New Roman"/>
          <w:sz w:val="24"/>
        </w:rPr>
        <w:t>Dans le cas de l’</w:t>
      </w:r>
      <w:r w:rsidR="0065317D" w:rsidRPr="00FB6E21">
        <w:rPr>
          <w:rFonts w:ascii="Times New Roman" w:hAnsi="Times New Roman"/>
          <w:sz w:val="24"/>
        </w:rPr>
        <w:t>Afrique c’</w:t>
      </w:r>
      <w:r>
        <w:rPr>
          <w:rFonts w:ascii="Times New Roman" w:hAnsi="Times New Roman"/>
          <w:sz w:val="24"/>
        </w:rPr>
        <w:t>est un autre rapport qui s’</w:t>
      </w:r>
      <w:r w:rsidR="00F25137" w:rsidRPr="00FB6E21">
        <w:rPr>
          <w:rFonts w:ascii="Times New Roman" w:hAnsi="Times New Roman"/>
          <w:sz w:val="24"/>
        </w:rPr>
        <w:t>établit. Cet immense continent e</w:t>
      </w:r>
      <w:r w:rsidR="0065317D" w:rsidRPr="00FB6E21">
        <w:rPr>
          <w:rFonts w:ascii="Times New Roman" w:hAnsi="Times New Roman"/>
          <w:sz w:val="24"/>
        </w:rPr>
        <w:t>st présent dans l’imaginaire européen depuis l’</w:t>
      </w:r>
      <w:r w:rsidR="00F25137" w:rsidRPr="00FB6E21">
        <w:rPr>
          <w:rFonts w:ascii="Times New Roman" w:hAnsi="Times New Roman"/>
          <w:sz w:val="24"/>
        </w:rPr>
        <w:t>Antiquité, pourtant les ex</w:t>
      </w:r>
      <w:r w:rsidR="0065317D" w:rsidRPr="00FB6E21">
        <w:rPr>
          <w:rFonts w:ascii="Times New Roman" w:hAnsi="Times New Roman"/>
          <w:sz w:val="24"/>
        </w:rPr>
        <w:t>plorations portugaises du XV</w:t>
      </w:r>
      <w:r w:rsidR="0065317D" w:rsidRPr="00FB6E21">
        <w:rPr>
          <w:rFonts w:ascii="Times New Roman" w:hAnsi="Times New Roman"/>
          <w:sz w:val="24"/>
          <w:vertAlign w:val="superscript"/>
        </w:rPr>
        <w:t>e</w:t>
      </w:r>
      <w:r w:rsidR="0065317D" w:rsidRPr="00FB6E21">
        <w:rPr>
          <w:rFonts w:ascii="Times New Roman" w:hAnsi="Times New Roman"/>
          <w:sz w:val="24"/>
        </w:rPr>
        <w:t xml:space="preserve"> </w:t>
      </w:r>
      <w:r w:rsidR="00F25137" w:rsidRPr="00FB6E21">
        <w:rPr>
          <w:rFonts w:ascii="Times New Roman" w:hAnsi="Times New Roman"/>
          <w:sz w:val="24"/>
        </w:rPr>
        <w:t xml:space="preserve">siècle recomposent un nouvel objet et dessinent une logique différente où la place </w:t>
      </w:r>
      <w:r w:rsidR="0065317D" w:rsidRPr="00FB6E21">
        <w:rPr>
          <w:rFonts w:ascii="Times New Roman" w:hAnsi="Times New Roman"/>
          <w:sz w:val="24"/>
        </w:rPr>
        <w:t>de la « souveraineté » telle qu’</w:t>
      </w:r>
      <w:r w:rsidR="00F25137" w:rsidRPr="00FB6E21">
        <w:rPr>
          <w:rFonts w:ascii="Times New Roman" w:hAnsi="Times New Roman"/>
          <w:sz w:val="24"/>
        </w:rPr>
        <w:t>elle est entendue en Europe joue un rôle essentiel</w:t>
      </w:r>
      <w:r>
        <w:rPr>
          <w:rFonts w:ascii="Times New Roman" w:hAnsi="Times New Roman"/>
          <w:sz w:val="24"/>
        </w:rPr>
        <w:t xml:space="preserve"> et peut susciter une configuration particulière associant droits traditionnels sur un espace et des populations et droit sur une activité comme en témoigne en 1486 la titulature de Jean II du Portugal</w:t>
      </w:r>
      <w:r w:rsidR="00F25137" w:rsidRPr="00FB6E21">
        <w:rPr>
          <w:rFonts w:ascii="Times New Roman" w:hAnsi="Times New Roman"/>
          <w:sz w:val="24"/>
        </w:rPr>
        <w:t>.</w:t>
      </w:r>
      <w:r w:rsidR="00757825">
        <w:rPr>
          <w:rFonts w:ascii="Times New Roman" w:hAnsi="Times New Roman"/>
          <w:sz w:val="24"/>
        </w:rPr>
        <w:t xml:space="preserve"> D’abord</w:t>
      </w:r>
      <w:r>
        <w:rPr>
          <w:rFonts w:ascii="Times New Roman" w:hAnsi="Times New Roman"/>
          <w:sz w:val="24"/>
        </w:rPr>
        <w:t xml:space="preserve"> </w:t>
      </w:r>
      <w:r w:rsidR="00757825">
        <w:rPr>
          <w:rFonts w:ascii="Times New Roman" w:hAnsi="Times New Roman"/>
          <w:sz w:val="24"/>
        </w:rPr>
        <w:t xml:space="preserve">non </w:t>
      </w:r>
      <w:r w:rsidR="00F25137" w:rsidRPr="00FB6E21">
        <w:rPr>
          <w:rFonts w:ascii="Times New Roman" w:hAnsi="Times New Roman"/>
          <w:sz w:val="24"/>
        </w:rPr>
        <w:t>reconnue</w:t>
      </w:r>
      <w:r w:rsidR="00757825">
        <w:rPr>
          <w:rFonts w:ascii="Times New Roman" w:hAnsi="Times New Roman"/>
          <w:sz w:val="24"/>
        </w:rPr>
        <w:t>,</w:t>
      </w:r>
      <w:r w:rsidR="00F25137" w:rsidRPr="00FB6E21">
        <w:rPr>
          <w:rFonts w:ascii="Times New Roman" w:hAnsi="Times New Roman"/>
          <w:sz w:val="24"/>
        </w:rPr>
        <w:t xml:space="preserve"> </w:t>
      </w:r>
      <w:r w:rsidR="00757825">
        <w:rPr>
          <w:rFonts w:ascii="Times New Roman" w:hAnsi="Times New Roman"/>
          <w:sz w:val="24"/>
        </w:rPr>
        <w:t>elle</w:t>
      </w:r>
      <w:r w:rsidR="00F25137" w:rsidRPr="00FB6E21">
        <w:rPr>
          <w:rFonts w:ascii="Times New Roman" w:hAnsi="Times New Roman"/>
          <w:sz w:val="24"/>
        </w:rPr>
        <w:t xml:space="preserve"> don</w:t>
      </w:r>
      <w:r w:rsidR="0065317D" w:rsidRPr="00FB6E21">
        <w:rPr>
          <w:rFonts w:ascii="Times New Roman" w:hAnsi="Times New Roman"/>
          <w:sz w:val="24"/>
        </w:rPr>
        <w:t>ne lieu aux premières rafles d’esclaves d’Afrique de l’</w:t>
      </w:r>
      <w:r w:rsidR="00F25137" w:rsidRPr="00FB6E21">
        <w:rPr>
          <w:rFonts w:ascii="Times New Roman" w:hAnsi="Times New Roman"/>
          <w:sz w:val="24"/>
        </w:rPr>
        <w:t xml:space="preserve">Ouest </w:t>
      </w:r>
      <w:r w:rsidR="00757825">
        <w:rPr>
          <w:rFonts w:ascii="Times New Roman" w:hAnsi="Times New Roman"/>
          <w:sz w:val="24"/>
        </w:rPr>
        <w:t>(Gomes Eanes de Zurara,</w:t>
      </w:r>
      <w:r w:rsidR="00F25137" w:rsidRPr="00FB6E21">
        <w:rPr>
          <w:rFonts w:ascii="Times New Roman" w:hAnsi="Times New Roman"/>
          <w:sz w:val="24"/>
        </w:rPr>
        <w:t xml:space="preserve"> </w:t>
      </w:r>
      <w:r w:rsidR="0065317D" w:rsidRPr="00FB6E21">
        <w:rPr>
          <w:rFonts w:ascii="Times New Roman" w:hAnsi="Times New Roman"/>
          <w:sz w:val="24"/>
        </w:rPr>
        <w:t>« </w:t>
      </w:r>
      <w:r w:rsidR="00F25137" w:rsidRPr="00FB6E21">
        <w:rPr>
          <w:rFonts w:ascii="Times New Roman" w:hAnsi="Times New Roman"/>
          <w:iCs/>
          <w:sz w:val="24"/>
        </w:rPr>
        <w:t>Chronique de Guinée</w:t>
      </w:r>
      <w:r w:rsidR="0065317D" w:rsidRPr="00FB6E21">
        <w:rPr>
          <w:rFonts w:ascii="Times New Roman" w:hAnsi="Times New Roman"/>
          <w:iCs/>
          <w:sz w:val="24"/>
        </w:rPr>
        <w:t> »</w:t>
      </w:r>
      <w:r w:rsidR="00757825">
        <w:rPr>
          <w:rFonts w:ascii="Times New Roman" w:hAnsi="Times New Roman"/>
          <w:iCs/>
          <w:sz w:val="24"/>
        </w:rPr>
        <w:t>,</w:t>
      </w:r>
      <w:r w:rsidR="00F25137" w:rsidRPr="00FB6E21">
        <w:rPr>
          <w:rFonts w:ascii="Times New Roman" w:hAnsi="Times New Roman"/>
          <w:iCs/>
          <w:sz w:val="24"/>
        </w:rPr>
        <w:t xml:space="preserve"> </w:t>
      </w:r>
      <w:r w:rsidR="00F25137" w:rsidRPr="00FB6E21">
        <w:rPr>
          <w:rFonts w:ascii="Times New Roman" w:hAnsi="Times New Roman"/>
          <w:sz w:val="24"/>
        </w:rPr>
        <w:t>1453). Au fur et à mesure que les peuples rencontré</w:t>
      </w:r>
      <w:r w:rsidR="0065317D" w:rsidRPr="00FB6E21">
        <w:rPr>
          <w:rFonts w:ascii="Times New Roman" w:hAnsi="Times New Roman"/>
          <w:sz w:val="24"/>
        </w:rPr>
        <w:t>s sont identifiés dans l’imaginaire de l’</w:t>
      </w:r>
      <w:r w:rsidR="00F25137" w:rsidRPr="00FB6E21">
        <w:rPr>
          <w:rFonts w:ascii="Times New Roman" w:hAnsi="Times New Roman"/>
          <w:sz w:val="24"/>
        </w:rPr>
        <w:t xml:space="preserve">époque et </w:t>
      </w:r>
      <w:r w:rsidR="0065317D" w:rsidRPr="00FB6E21">
        <w:rPr>
          <w:rFonts w:ascii="Times New Roman" w:hAnsi="Times New Roman"/>
          <w:sz w:val="24"/>
        </w:rPr>
        <w:t>que des distinctions s’</w:t>
      </w:r>
      <w:r w:rsidR="00F25137" w:rsidRPr="00FB6E21">
        <w:rPr>
          <w:rFonts w:ascii="Times New Roman" w:hAnsi="Times New Roman"/>
          <w:sz w:val="24"/>
        </w:rPr>
        <w:t>établissent dans la lignée classique médiévale entre « Infidèles »,  « Maures </w:t>
      </w:r>
      <w:r w:rsidR="0065317D" w:rsidRPr="00FB6E21">
        <w:rPr>
          <w:rFonts w:ascii="Times New Roman" w:hAnsi="Times New Roman"/>
          <w:sz w:val="24"/>
        </w:rPr>
        <w:t>» ou encore « Maures Noirs », l’émergence d’</w:t>
      </w:r>
      <w:r w:rsidR="00F25137" w:rsidRPr="00FB6E21">
        <w:rPr>
          <w:rFonts w:ascii="Times New Roman" w:hAnsi="Times New Roman"/>
          <w:sz w:val="24"/>
        </w:rPr>
        <w:t>une souveraineté indigène devient possible</w:t>
      </w:r>
      <w:r>
        <w:rPr>
          <w:rFonts w:ascii="Times New Roman" w:hAnsi="Times New Roman"/>
          <w:sz w:val="24"/>
        </w:rPr>
        <w:t xml:space="preserve"> et le roi du Saloum </w:t>
      </w:r>
      <w:r w:rsidR="006267DB">
        <w:rPr>
          <w:rFonts w:ascii="Times New Roman" w:hAnsi="Times New Roman"/>
          <w:sz w:val="24"/>
        </w:rPr>
        <w:t xml:space="preserve">peut </w:t>
      </w:r>
      <w:r>
        <w:rPr>
          <w:rFonts w:ascii="Times New Roman" w:hAnsi="Times New Roman"/>
          <w:sz w:val="24"/>
        </w:rPr>
        <w:t>se faire appeler le « Père des Blancs ». Cette r</w:t>
      </w:r>
      <w:r w:rsidR="00F25137" w:rsidRPr="00FB6E21">
        <w:rPr>
          <w:rFonts w:ascii="Times New Roman" w:hAnsi="Times New Roman"/>
          <w:bCs/>
          <w:sz w:val="24"/>
        </w:rPr>
        <w:t xml:space="preserve">econnaissance </w:t>
      </w:r>
      <w:r w:rsidR="0065317D" w:rsidRPr="00FB6E21">
        <w:rPr>
          <w:rFonts w:ascii="Times New Roman" w:hAnsi="Times New Roman"/>
          <w:bCs/>
          <w:sz w:val="24"/>
        </w:rPr>
        <w:t>sert de barrage à l’</w:t>
      </w:r>
      <w:r w:rsidR="00F25137" w:rsidRPr="00FB6E21">
        <w:rPr>
          <w:rFonts w:ascii="Times New Roman" w:hAnsi="Times New Roman"/>
          <w:bCs/>
          <w:sz w:val="24"/>
        </w:rPr>
        <w:t>accès des Européens à l’intérieur africain</w:t>
      </w:r>
      <w:r w:rsidR="006267DB">
        <w:rPr>
          <w:rFonts w:ascii="Times New Roman" w:hAnsi="Times New Roman"/>
          <w:bCs/>
          <w:sz w:val="24"/>
        </w:rPr>
        <w:t>. L</w:t>
      </w:r>
      <w:r>
        <w:rPr>
          <w:rFonts w:ascii="Times New Roman" w:hAnsi="Times New Roman"/>
          <w:bCs/>
          <w:sz w:val="24"/>
        </w:rPr>
        <w:t xml:space="preserve">a confrontation des réalités portugaises en termes de souveraineté, en terres américaines et africaines, rend compte </w:t>
      </w:r>
      <w:r w:rsidR="006267DB">
        <w:rPr>
          <w:rFonts w:ascii="Times New Roman" w:hAnsi="Times New Roman"/>
          <w:bCs/>
          <w:sz w:val="24"/>
        </w:rPr>
        <w:t xml:space="preserve">également </w:t>
      </w:r>
      <w:r>
        <w:rPr>
          <w:rFonts w:ascii="Times New Roman" w:hAnsi="Times New Roman"/>
          <w:bCs/>
          <w:sz w:val="24"/>
        </w:rPr>
        <w:t xml:space="preserve">de la nécessité de comprendre les modulations de la souveraineté indigène au sein d’un même espace colonial. </w:t>
      </w:r>
    </w:p>
    <w:p w:rsidR="0065317D" w:rsidRPr="00FB6E21" w:rsidRDefault="0065317D" w:rsidP="00A82E96">
      <w:pPr>
        <w:spacing w:after="240"/>
        <w:jc w:val="both"/>
        <w:rPr>
          <w:rFonts w:ascii="Times New Roman" w:eastAsia="Times New Roman" w:hAnsi="Times New Roman"/>
          <w:sz w:val="24"/>
          <w:szCs w:val="24"/>
          <w:lang w:eastAsia="fr-FR"/>
        </w:rPr>
      </w:pPr>
      <w:r w:rsidRPr="00FB6E21">
        <w:rPr>
          <w:rFonts w:ascii="Times New Roman" w:eastAsia="Times New Roman" w:hAnsi="Times New Roman"/>
          <w:sz w:val="24"/>
          <w:szCs w:val="24"/>
          <w:lang w:eastAsia="fr-FR"/>
        </w:rPr>
        <w:t xml:space="preserve">La Conquête, justifiée par l’entreprise d’évangélisation, a, semble-t-il, effacé toute forme de souveraineté indigène dans l’espace américain revendiqué par les empires ibériques aux Amériques. Si, dans le domaine de la foi, les rois d’Espagne imposent la conversion à leurs nouveaux sujets, ils s’inscrivent, sur le plan politique, en continuité avec les anciennes polités amérindiennes en devenant les seigneurs naturels des « Indiens ». </w:t>
      </w:r>
      <w:r w:rsidR="00757825">
        <w:rPr>
          <w:rFonts w:ascii="Times New Roman" w:eastAsia="Times New Roman" w:hAnsi="Times New Roman"/>
          <w:sz w:val="24"/>
          <w:szCs w:val="24"/>
          <w:lang w:eastAsia="fr-FR"/>
        </w:rPr>
        <w:t>U</w:t>
      </w:r>
      <w:r w:rsidRPr="00FB6E21">
        <w:rPr>
          <w:rFonts w:ascii="Times New Roman" w:eastAsia="Times New Roman" w:hAnsi="Times New Roman"/>
          <w:sz w:val="24"/>
          <w:szCs w:val="24"/>
          <w:lang w:eastAsia="fr-FR"/>
        </w:rPr>
        <w:t xml:space="preserve">ne forme de souveraineté relative, subalterne, est </w:t>
      </w:r>
      <w:r w:rsidR="00757825">
        <w:rPr>
          <w:rFonts w:ascii="Times New Roman" w:eastAsia="Times New Roman" w:hAnsi="Times New Roman"/>
          <w:sz w:val="24"/>
          <w:szCs w:val="24"/>
          <w:lang w:eastAsia="fr-FR"/>
        </w:rPr>
        <w:t xml:space="preserve">néanmoins </w:t>
      </w:r>
      <w:r w:rsidRPr="00FB6E21">
        <w:rPr>
          <w:rFonts w:ascii="Times New Roman" w:eastAsia="Times New Roman" w:hAnsi="Times New Roman"/>
          <w:sz w:val="24"/>
          <w:szCs w:val="24"/>
          <w:lang w:eastAsia="fr-FR"/>
        </w:rPr>
        <w:t xml:space="preserve">reconnue aux </w:t>
      </w:r>
      <w:r w:rsidR="006267DB">
        <w:rPr>
          <w:rFonts w:ascii="Times New Roman" w:eastAsia="Times New Roman" w:hAnsi="Times New Roman"/>
          <w:sz w:val="24"/>
          <w:szCs w:val="24"/>
          <w:lang w:eastAsia="fr-FR"/>
        </w:rPr>
        <w:t xml:space="preserve">Indiens, élément à part entière </w:t>
      </w:r>
      <w:r w:rsidRPr="00FB6E21">
        <w:rPr>
          <w:rFonts w:ascii="Times New Roman" w:eastAsia="Times New Roman" w:hAnsi="Times New Roman"/>
          <w:sz w:val="24"/>
          <w:szCs w:val="24"/>
          <w:lang w:eastAsia="fr-FR"/>
        </w:rPr>
        <w:t>d’une monarchie polycentrée</w:t>
      </w:r>
      <w:r w:rsidR="00757825">
        <w:rPr>
          <w:rFonts w:ascii="Times New Roman" w:eastAsia="Times New Roman" w:hAnsi="Times New Roman"/>
          <w:sz w:val="24"/>
          <w:szCs w:val="24"/>
          <w:lang w:eastAsia="fr-FR"/>
        </w:rPr>
        <w:t xml:space="preserve">, notamment par la </w:t>
      </w:r>
      <w:r w:rsidR="00757825" w:rsidRPr="00FB6E21">
        <w:rPr>
          <w:rFonts w:ascii="Times New Roman" w:eastAsia="Times New Roman" w:hAnsi="Times New Roman"/>
          <w:sz w:val="24"/>
          <w:szCs w:val="24"/>
          <w:lang w:eastAsia="fr-FR"/>
        </w:rPr>
        <w:t>reconnaissance d’une administration autonome des communautés indiennes par des chefs héréditaires, caciques et principaux</w:t>
      </w:r>
      <w:r w:rsidRPr="00FB6E21">
        <w:rPr>
          <w:rFonts w:ascii="Times New Roman" w:eastAsia="Times New Roman" w:hAnsi="Times New Roman"/>
          <w:sz w:val="24"/>
          <w:szCs w:val="24"/>
          <w:lang w:eastAsia="fr-FR"/>
        </w:rPr>
        <w:t>. De fait, la Conquête est loin d’avoir éteint toute forme de souveraineté indigène, y compris à l’intérieur des empires européens, si l’on donne à ce concept, au rebours de sa conceptualisation bodinienne, un sens relatif et imparfait. Ce n’est</w:t>
      </w:r>
      <w:r w:rsidR="001E2BB1">
        <w:rPr>
          <w:rFonts w:ascii="Times New Roman" w:eastAsia="Times New Roman" w:hAnsi="Times New Roman"/>
          <w:sz w:val="24"/>
          <w:szCs w:val="24"/>
          <w:lang w:eastAsia="fr-FR"/>
        </w:rPr>
        <w:t xml:space="preserve"> </w:t>
      </w:r>
      <w:r w:rsidRPr="00FB6E21">
        <w:rPr>
          <w:rFonts w:ascii="Times New Roman" w:eastAsia="Times New Roman" w:hAnsi="Times New Roman"/>
          <w:sz w:val="24"/>
          <w:szCs w:val="24"/>
          <w:lang w:eastAsia="fr-FR"/>
        </w:rPr>
        <w:t>qu’au cours du XIX</w:t>
      </w:r>
      <w:r w:rsidRPr="00FB6E21">
        <w:rPr>
          <w:rFonts w:ascii="Times New Roman" w:eastAsia="Times New Roman" w:hAnsi="Times New Roman"/>
          <w:sz w:val="24"/>
          <w:szCs w:val="24"/>
          <w:vertAlign w:val="superscript"/>
          <w:lang w:eastAsia="fr-FR"/>
        </w:rPr>
        <w:t>e</w:t>
      </w:r>
      <w:r w:rsidRPr="00FB6E21">
        <w:rPr>
          <w:rFonts w:ascii="Times New Roman" w:eastAsia="Times New Roman" w:hAnsi="Times New Roman"/>
          <w:sz w:val="24"/>
          <w:szCs w:val="24"/>
          <w:lang w:eastAsia="fr-FR"/>
        </w:rPr>
        <w:t xml:space="preserve"> siècle que les dernières polités amérindiennes indépendantes furent conquises par les armes : Comanches, Apaches et Sioux des plaines ; Chiriguanos de l’Est bolivien ; Mapuches et Indiens de Patagonie dans ce qui deviendrait, à la fin du siècle, le Sud du Chili et de l’Argentine. Les empires européens, et les Etats indépendants qui leur ont succédé, et qui les ont souvent continués, ont ainsi construit un spectre complexe de relations avec les formes de gouvernements indigènes qu’ils autorisaient, reconnaissaient ou </w:t>
      </w:r>
      <w:r w:rsidR="001E2BB1">
        <w:rPr>
          <w:rFonts w:ascii="Times New Roman" w:eastAsia="Times New Roman" w:hAnsi="Times New Roman"/>
          <w:sz w:val="24"/>
          <w:szCs w:val="24"/>
          <w:lang w:eastAsia="fr-FR"/>
        </w:rPr>
        <w:t>combattaient.</w:t>
      </w:r>
      <w:r w:rsidRPr="00FB6E21">
        <w:rPr>
          <w:rFonts w:ascii="Times New Roman" w:eastAsia="Times New Roman" w:hAnsi="Times New Roman"/>
          <w:sz w:val="24"/>
          <w:szCs w:val="24"/>
          <w:lang w:eastAsia="fr-FR"/>
        </w:rPr>
        <w:t xml:space="preserve"> </w:t>
      </w:r>
    </w:p>
    <w:p w:rsidR="0065317D" w:rsidRDefault="0065317D" w:rsidP="00A82E96">
      <w:pPr>
        <w:jc w:val="both"/>
        <w:rPr>
          <w:rFonts w:ascii="Times New Roman" w:eastAsia="Times New Roman" w:hAnsi="Times New Roman"/>
          <w:sz w:val="24"/>
          <w:szCs w:val="24"/>
          <w:lang w:eastAsia="fr-FR"/>
        </w:rPr>
      </w:pPr>
      <w:r w:rsidRPr="00FB6E21">
        <w:rPr>
          <w:rFonts w:ascii="Times New Roman" w:eastAsia="Times New Roman" w:hAnsi="Times New Roman"/>
          <w:sz w:val="24"/>
          <w:szCs w:val="24"/>
          <w:lang w:eastAsia="fr-FR"/>
        </w:rPr>
        <w:t>Sur les plans du droit, de l’imaginaire politique, des représentations culturelles et des savoirs scientifiques, la discussion a été continue sur la définition, les limites et la valeur de ces souverainetés indigènes, qu’elles fussent relatives ou absolues. Cette réflexion de longue durée sur la nature des polités indigènes, la grandeur ou la barbarie des empires précolombiens, la dégénérescence ou la bonté naturelle des Indiens, donna lieu à la construction d’épistémologies et de savoirs dès le XVI</w:t>
      </w:r>
      <w:r w:rsidRPr="00FB4794">
        <w:rPr>
          <w:rFonts w:ascii="Times New Roman" w:eastAsia="Times New Roman" w:hAnsi="Times New Roman"/>
          <w:sz w:val="24"/>
          <w:szCs w:val="24"/>
          <w:vertAlign w:val="superscript"/>
          <w:lang w:eastAsia="fr-FR"/>
        </w:rPr>
        <w:t>e</w:t>
      </w:r>
      <w:r w:rsidRPr="00FB6E21">
        <w:rPr>
          <w:rFonts w:ascii="Times New Roman" w:eastAsia="Times New Roman" w:hAnsi="Times New Roman"/>
          <w:sz w:val="24"/>
          <w:szCs w:val="24"/>
          <w:lang w:eastAsia="fr-FR"/>
        </w:rPr>
        <w:t xml:space="preserve"> siècle. Si le débat sur les justes et injustes titres de la conquête fut l’un des éléments fondamentaux de la formation du droit moderne des gens, une forme naissante d’anthropologie historique naît avec les ouvrages qui évoquent les empires défunts des Aztèques ou des Incas (Inca Garcilaso de la Vega, Sahagún, Motolinía, etc.). Il faut souligner, avec Jorge Cañizares-Esguerra, l’importance de la controverse de l’Amérique, au XVIII</w:t>
      </w:r>
      <w:r w:rsidRPr="00FB6E21">
        <w:rPr>
          <w:rFonts w:ascii="Times New Roman" w:eastAsia="Times New Roman" w:hAnsi="Times New Roman"/>
          <w:sz w:val="24"/>
          <w:szCs w:val="24"/>
          <w:vertAlign w:val="superscript"/>
          <w:lang w:eastAsia="fr-FR"/>
        </w:rPr>
        <w:t>e</w:t>
      </w:r>
      <w:r w:rsidRPr="00FB6E21">
        <w:rPr>
          <w:rFonts w:ascii="Times New Roman" w:eastAsia="Times New Roman" w:hAnsi="Times New Roman"/>
          <w:sz w:val="24"/>
          <w:szCs w:val="24"/>
          <w:lang w:eastAsia="fr-FR"/>
        </w:rPr>
        <w:t xml:space="preserve"> siècle, pour l’épistémologie, ou l’une des épistémologies, des Lumières : le Nouveau Monde devait-il être connu à travers une histoire naturelle, ou l’histoire tout court ? Dans le second cas, la redécouverte des Antiquités américaines, et de la grandeur des empires précolombiens, devenait le support d’une réflexion anthropologique et historique sur les relations entre l’Europe au reste du monde. Pour les Européens, du Vieux ou du Nouveau Monde, la « Découverte » et la Conquête ont longtemps servi à penser le rapport à l’altérité anthropologique et politique : les souverainetés indigènes peuvent être comprises, ainsi, comme le lieu d’un travail symbolique où naissent de</w:t>
      </w:r>
      <w:r w:rsidR="006267DB">
        <w:rPr>
          <w:rFonts w:ascii="Times New Roman" w:eastAsia="Times New Roman" w:hAnsi="Times New Roman"/>
          <w:sz w:val="24"/>
          <w:szCs w:val="24"/>
          <w:lang w:eastAsia="fr-FR"/>
        </w:rPr>
        <w:t>s</w:t>
      </w:r>
      <w:r w:rsidRPr="00FB6E21">
        <w:rPr>
          <w:rFonts w:ascii="Times New Roman" w:eastAsia="Times New Roman" w:hAnsi="Times New Roman"/>
          <w:sz w:val="24"/>
          <w:szCs w:val="24"/>
          <w:lang w:eastAsia="fr-FR"/>
        </w:rPr>
        <w:t xml:space="preserve"> savoirs nouveaux dans les domaines du droit, de l’histoire, de la science politique, de l’anthropologie concernant le processus d’occidentalisation. Les Indiens, et leurs souverainetés vaincues, représentent, dans cette histoire, le spectre d’une altérité défaite, inoubliable, qui hante la conscience occidentale.</w:t>
      </w:r>
    </w:p>
    <w:p w:rsidR="00BA17B2" w:rsidRPr="00FB6E21" w:rsidRDefault="003A6356" w:rsidP="00A82E96">
      <w:pPr>
        <w:jc w:val="both"/>
        <w:rPr>
          <w:rFonts w:ascii="Times New Roman" w:hAnsi="Times New Roman"/>
          <w:sz w:val="24"/>
        </w:rPr>
      </w:pPr>
      <w:r w:rsidRPr="00FB6E21">
        <w:rPr>
          <w:rFonts w:ascii="Times New Roman" w:hAnsi="Times New Roman"/>
          <w:sz w:val="24"/>
        </w:rPr>
        <w:t xml:space="preserve">Le colloque se propose dès lors </w:t>
      </w:r>
      <w:r w:rsidR="00BA17B2" w:rsidRPr="00FB6E21">
        <w:rPr>
          <w:rFonts w:ascii="Times New Roman" w:hAnsi="Times New Roman"/>
          <w:sz w:val="24"/>
        </w:rPr>
        <w:t xml:space="preserve">de dresser un état des lieux du sujet pour rassembler autour de la souveraineté indigène des chercheurs </w:t>
      </w:r>
      <w:r w:rsidR="00875377">
        <w:rPr>
          <w:rFonts w:ascii="Times New Roman" w:hAnsi="Times New Roman"/>
          <w:sz w:val="24"/>
        </w:rPr>
        <w:t>en sciences humaines et sociales et en droit notamment</w:t>
      </w:r>
      <w:r w:rsidR="00BA17B2" w:rsidRPr="00FB6E21">
        <w:rPr>
          <w:rFonts w:ascii="Times New Roman" w:hAnsi="Times New Roman"/>
          <w:sz w:val="24"/>
        </w:rPr>
        <w:t>, afin de saisir les constructions parallèles et associées de la souveraineté des deux côtés de l’Atlantique entre la fin des universaux médiévaux et leur régime de gouvernance au cours des XV</w:t>
      </w:r>
      <w:r w:rsidR="00BA17B2" w:rsidRPr="00FB6E21">
        <w:rPr>
          <w:rFonts w:ascii="Times New Roman" w:hAnsi="Times New Roman"/>
          <w:sz w:val="24"/>
          <w:vertAlign w:val="superscript"/>
        </w:rPr>
        <w:t>e</w:t>
      </w:r>
      <w:r w:rsidR="00BA17B2" w:rsidRPr="00FB6E21">
        <w:rPr>
          <w:rFonts w:ascii="Times New Roman" w:hAnsi="Times New Roman"/>
          <w:sz w:val="24"/>
        </w:rPr>
        <w:t xml:space="preserve"> et XVI</w:t>
      </w:r>
      <w:r w:rsidR="00BA17B2" w:rsidRPr="00FB6E21">
        <w:rPr>
          <w:rFonts w:ascii="Times New Roman" w:hAnsi="Times New Roman"/>
          <w:sz w:val="24"/>
          <w:vertAlign w:val="superscript"/>
        </w:rPr>
        <w:t>e</w:t>
      </w:r>
      <w:r w:rsidR="00BA17B2" w:rsidRPr="00FB6E21">
        <w:rPr>
          <w:rFonts w:ascii="Times New Roman" w:hAnsi="Times New Roman"/>
          <w:sz w:val="24"/>
        </w:rPr>
        <w:t xml:space="preserve"> siècles et les lendemains des expériences politiques des « Révolutions atlantiques » inaugurant de nouveaux rapports à l’Autorité dans la première moitié du XIX</w:t>
      </w:r>
      <w:r w:rsidR="00BA17B2" w:rsidRPr="00FB6E21">
        <w:rPr>
          <w:rFonts w:ascii="Times New Roman" w:hAnsi="Times New Roman"/>
          <w:sz w:val="24"/>
          <w:vertAlign w:val="superscript"/>
        </w:rPr>
        <w:t>e</w:t>
      </w:r>
      <w:r w:rsidR="00BA17B2" w:rsidRPr="00FB6E21">
        <w:rPr>
          <w:rFonts w:ascii="Times New Roman" w:hAnsi="Times New Roman"/>
          <w:sz w:val="24"/>
        </w:rPr>
        <w:t xml:space="preserve"> siècle. Ce regard doit être considéré, en effet, moins comme inerte ou s’attachant à la seule description immunisante d’une extériorité exotique que partie prenante, de manière fondamentale, d’une construction singulière de la Souveraineté moderne européenne elle-même dont la mise en place est profondément associée aux questionnements provoqués ou renouvelés par ces nouveaux horizons du monde, géographiques, religieux et politiques.</w:t>
      </w:r>
    </w:p>
    <w:p w:rsidR="002E7BCB" w:rsidRDefault="003A6356" w:rsidP="00A82E96">
      <w:pPr>
        <w:jc w:val="both"/>
        <w:rPr>
          <w:rFonts w:ascii="Times New Roman" w:hAnsi="Times New Roman"/>
          <w:sz w:val="24"/>
        </w:rPr>
      </w:pPr>
      <w:r w:rsidRPr="00FB6E21">
        <w:rPr>
          <w:rFonts w:ascii="Times New Roman" w:hAnsi="Times New Roman"/>
          <w:sz w:val="24"/>
        </w:rPr>
        <w:t xml:space="preserve">Dans cette ambition </w:t>
      </w:r>
      <w:r w:rsidR="00FB6E21">
        <w:rPr>
          <w:rFonts w:ascii="Times New Roman" w:hAnsi="Times New Roman"/>
          <w:sz w:val="24"/>
        </w:rPr>
        <w:t xml:space="preserve">trois </w:t>
      </w:r>
      <w:r w:rsidRPr="00FB6E21">
        <w:rPr>
          <w:rFonts w:ascii="Times New Roman" w:hAnsi="Times New Roman"/>
          <w:sz w:val="24"/>
        </w:rPr>
        <w:t>grandes thématiques se dessinent : celle d’abord de l’étude des souverainetés indigènes, parfaites et imparfaites </w:t>
      </w:r>
      <w:r w:rsidR="00875377">
        <w:rPr>
          <w:rFonts w:ascii="Times New Roman" w:hAnsi="Times New Roman"/>
          <w:sz w:val="24"/>
        </w:rPr>
        <w:t xml:space="preserve">selon les normes bodiniennes </w:t>
      </w:r>
      <w:r w:rsidR="006C1113">
        <w:rPr>
          <w:rFonts w:ascii="Times New Roman" w:hAnsi="Times New Roman"/>
          <w:sz w:val="24"/>
        </w:rPr>
        <w:t>(1)</w:t>
      </w:r>
      <w:r w:rsidR="00D25EF7">
        <w:rPr>
          <w:rFonts w:ascii="Times New Roman" w:hAnsi="Times New Roman"/>
          <w:sz w:val="24"/>
        </w:rPr>
        <w:t> ;</w:t>
      </w:r>
      <w:r w:rsidRPr="00FB6E21">
        <w:rPr>
          <w:rFonts w:ascii="Times New Roman" w:hAnsi="Times New Roman"/>
          <w:sz w:val="24"/>
        </w:rPr>
        <w:t xml:space="preserve"> celle ensuite de leur place dans la controverse du Nouveau monde et des antiquités américaines</w:t>
      </w:r>
      <w:r w:rsidR="00FB6E21">
        <w:rPr>
          <w:rFonts w:ascii="Times New Roman" w:hAnsi="Times New Roman"/>
          <w:sz w:val="24"/>
        </w:rPr>
        <w:t> </w:t>
      </w:r>
      <w:r w:rsidR="006C1113">
        <w:rPr>
          <w:rFonts w:ascii="Times New Roman" w:hAnsi="Times New Roman"/>
          <w:sz w:val="24"/>
        </w:rPr>
        <w:t>(2)</w:t>
      </w:r>
      <w:r w:rsidR="00D25EF7">
        <w:rPr>
          <w:rFonts w:ascii="Times New Roman" w:hAnsi="Times New Roman"/>
          <w:sz w:val="24"/>
        </w:rPr>
        <w:t> ;</w:t>
      </w:r>
      <w:r w:rsidR="00FB6E21">
        <w:rPr>
          <w:rFonts w:ascii="Times New Roman" w:hAnsi="Times New Roman"/>
          <w:sz w:val="24"/>
        </w:rPr>
        <w:t xml:space="preserve"> celle enfin du miroir tendu par ces souverainetés autochtones aux pratiques souveraines européennes où le reflet révèle alors dans ces dernières moins des systèmes et des imaginaires drapés dans un glorieux absolu que des réalités elles-mêmes imparfaites </w:t>
      </w:r>
      <w:r w:rsidR="00680462">
        <w:rPr>
          <w:rFonts w:ascii="Times New Roman" w:hAnsi="Times New Roman"/>
          <w:sz w:val="24"/>
        </w:rPr>
        <w:t xml:space="preserve">d’abord </w:t>
      </w:r>
      <w:r w:rsidR="00FB6E21">
        <w:rPr>
          <w:rFonts w:ascii="Times New Roman" w:hAnsi="Times New Roman"/>
          <w:sz w:val="24"/>
        </w:rPr>
        <w:t xml:space="preserve">et relatives </w:t>
      </w:r>
      <w:r w:rsidR="00680462">
        <w:rPr>
          <w:rFonts w:ascii="Times New Roman" w:hAnsi="Times New Roman"/>
          <w:sz w:val="24"/>
        </w:rPr>
        <w:t xml:space="preserve">ensuite </w:t>
      </w:r>
      <w:r w:rsidR="00FB6E21">
        <w:rPr>
          <w:rFonts w:ascii="Times New Roman" w:hAnsi="Times New Roman"/>
          <w:sz w:val="24"/>
        </w:rPr>
        <w:t xml:space="preserve">à ces </w:t>
      </w:r>
      <w:r w:rsidR="00620939">
        <w:rPr>
          <w:rFonts w:ascii="Times New Roman" w:hAnsi="Times New Roman"/>
          <w:sz w:val="24"/>
        </w:rPr>
        <w:t>formes indigènes qu’elles pensaient rejeter dans leurs marges</w:t>
      </w:r>
      <w:r w:rsidR="006C1113">
        <w:rPr>
          <w:rFonts w:ascii="Times New Roman" w:hAnsi="Times New Roman"/>
          <w:sz w:val="24"/>
        </w:rPr>
        <w:t xml:space="preserve"> (3)</w:t>
      </w:r>
      <w:r w:rsidR="00620939">
        <w:rPr>
          <w:rFonts w:ascii="Times New Roman" w:hAnsi="Times New Roman"/>
          <w:sz w:val="24"/>
        </w:rPr>
        <w:t>.</w:t>
      </w:r>
    </w:p>
    <w:p w:rsidR="002E7BCB" w:rsidRPr="002E7BCB" w:rsidRDefault="003A6356" w:rsidP="001A77AA">
      <w:pPr>
        <w:numPr>
          <w:ilvl w:val="0"/>
          <w:numId w:val="3"/>
        </w:numPr>
        <w:ind w:left="426"/>
        <w:jc w:val="both"/>
        <w:rPr>
          <w:rFonts w:ascii="Times New Roman" w:hAnsi="Times New Roman"/>
          <w:sz w:val="24"/>
        </w:rPr>
      </w:pPr>
      <w:r w:rsidRPr="00FB6E21">
        <w:rPr>
          <w:rFonts w:ascii="Times New Roman" w:eastAsia="Times New Roman" w:hAnsi="Times New Roman"/>
          <w:sz w:val="24"/>
          <w:szCs w:val="24"/>
          <w:lang w:eastAsia="fr-FR"/>
        </w:rPr>
        <w:t xml:space="preserve">Si l’on prend un peu de distance vis-à-vis </w:t>
      </w:r>
      <w:r w:rsidR="002E7BCB">
        <w:rPr>
          <w:rFonts w:ascii="Times New Roman" w:eastAsia="Times New Roman" w:hAnsi="Times New Roman"/>
          <w:sz w:val="24"/>
          <w:szCs w:val="24"/>
          <w:lang w:eastAsia="fr-FR"/>
        </w:rPr>
        <w:t xml:space="preserve">de la conception bodinienne, ou </w:t>
      </w:r>
      <w:r w:rsidRPr="00FB6E21">
        <w:rPr>
          <w:rFonts w:ascii="Times New Roman" w:eastAsia="Times New Roman" w:hAnsi="Times New Roman"/>
          <w:sz w:val="24"/>
          <w:szCs w:val="24"/>
          <w:lang w:eastAsia="fr-FR"/>
        </w:rPr>
        <w:t>philosophique de la souveraineté comme unité absolue, et que l’on pense cette notion à la fois comme relative et pas nécessairement déterminée par les marques qui la définissent usuellement dans les Etats, il devient possible de penser les différentes formes de droit au gouvernement que reconnurent, implicitement ou explicitement, les empires aux groupes amérindiens, ou comportant des Amérindiens tout au long d’une époque coloniale étirée jusqu’à la fin du XIX</w:t>
      </w:r>
      <w:r w:rsidRPr="00FB6E21">
        <w:rPr>
          <w:rFonts w:ascii="Times New Roman" w:eastAsia="Times New Roman" w:hAnsi="Times New Roman"/>
          <w:sz w:val="24"/>
          <w:szCs w:val="24"/>
          <w:vertAlign w:val="superscript"/>
          <w:lang w:eastAsia="fr-FR"/>
        </w:rPr>
        <w:t>e</w:t>
      </w:r>
      <w:r w:rsidRPr="00FB6E21">
        <w:rPr>
          <w:rFonts w:ascii="Times New Roman" w:eastAsia="Times New Roman" w:hAnsi="Times New Roman"/>
          <w:sz w:val="24"/>
          <w:szCs w:val="24"/>
          <w:lang w:eastAsia="fr-FR"/>
        </w:rPr>
        <w:t xml:space="preserve"> siècle. La (re)construction ou la reconnaissance d’autorités indigènes au sein des empires ou les relations diplomatiques avec les polités indiennes décrivent ce spectre des souverainetés. Cette perspective implique une réflexion sur la nature de ces cités indiennes, prenant au sérieux la capacité de ces derniers à former des gouvernements bien ordonnés, même si non étatique</w:t>
      </w:r>
      <w:r w:rsidR="00875377">
        <w:rPr>
          <w:rFonts w:ascii="Times New Roman" w:eastAsia="Times New Roman" w:hAnsi="Times New Roman"/>
          <w:sz w:val="24"/>
          <w:szCs w:val="24"/>
          <w:lang w:eastAsia="fr-FR"/>
        </w:rPr>
        <w:t>s</w:t>
      </w:r>
      <w:r w:rsidRPr="00FB6E21">
        <w:rPr>
          <w:rFonts w:ascii="Times New Roman" w:eastAsia="Times New Roman" w:hAnsi="Times New Roman"/>
          <w:sz w:val="24"/>
          <w:szCs w:val="24"/>
          <w:lang w:eastAsia="fr-FR"/>
        </w:rPr>
        <w:t xml:space="preserve"> le plus souvent. Il s’agit aussi d’éviter le biais d’une ethnicisation</w:t>
      </w:r>
      <w:r w:rsidR="00875377">
        <w:rPr>
          <w:rFonts w:ascii="Times New Roman" w:eastAsia="Times New Roman" w:hAnsi="Times New Roman"/>
          <w:sz w:val="24"/>
          <w:szCs w:val="24"/>
          <w:lang w:eastAsia="fr-FR"/>
        </w:rPr>
        <w:t xml:space="preserve"> ou d’une racialisation abusives</w:t>
      </w:r>
      <w:r w:rsidRPr="00FB6E21">
        <w:rPr>
          <w:rFonts w:ascii="Times New Roman" w:eastAsia="Times New Roman" w:hAnsi="Times New Roman"/>
          <w:sz w:val="24"/>
          <w:szCs w:val="24"/>
          <w:lang w:eastAsia="fr-FR"/>
        </w:rPr>
        <w:t xml:space="preserve">, pour à la fois décrire la pluralité des types de gouvernements indigènes, le caractère souvent bigarré de leur composition, et les formes diverses de leur articulation aux empires. Les guerres ou les révoltes indiennes, et les négociations qui les accompagnent, diplomatiques ou non, constituent l’un des observatoires les plus intéressants pour comprendre ces souverainetés indiennes, </w:t>
      </w:r>
      <w:r w:rsidRPr="00FB6E21">
        <w:rPr>
          <w:rFonts w:ascii="Times New Roman" w:eastAsia="Times New Roman" w:hAnsi="Times New Roman"/>
          <w:i/>
          <w:iCs/>
          <w:sz w:val="24"/>
          <w:szCs w:val="24"/>
          <w:lang w:eastAsia="fr-FR"/>
        </w:rPr>
        <w:t>du point de vue des deux partis en présence</w:t>
      </w:r>
      <w:r w:rsidRPr="00FB6E21">
        <w:rPr>
          <w:rFonts w:ascii="Times New Roman" w:eastAsia="Times New Roman" w:hAnsi="Times New Roman"/>
          <w:sz w:val="24"/>
          <w:szCs w:val="24"/>
          <w:lang w:eastAsia="fr-FR"/>
        </w:rPr>
        <w:t>. Concernant le XIX</w:t>
      </w:r>
      <w:r w:rsidRPr="00FB6E21">
        <w:rPr>
          <w:rFonts w:ascii="Times New Roman" w:eastAsia="Times New Roman" w:hAnsi="Times New Roman"/>
          <w:sz w:val="24"/>
          <w:szCs w:val="24"/>
          <w:vertAlign w:val="superscript"/>
          <w:lang w:eastAsia="fr-FR"/>
        </w:rPr>
        <w:t>e</w:t>
      </w:r>
      <w:r w:rsidRPr="00FB6E21">
        <w:rPr>
          <w:rFonts w:ascii="Times New Roman" w:eastAsia="Times New Roman" w:hAnsi="Times New Roman"/>
          <w:sz w:val="24"/>
          <w:szCs w:val="24"/>
          <w:lang w:eastAsia="fr-FR"/>
        </w:rPr>
        <w:t xml:space="preserve"> siècle, qui semble rejouer les scènes tragiques de la Conquête, deux processus mériteraient également une analyse fine. D’une part, l’association des Indiens au souverain populaire en Amérique latine, sous les espèces de la citoyenneté, avec les résultats mitigés que l’on connaît. D’autre part, l’absorption des dernières souverainetés parfaites indigènes dans les républiques américaines, aux Etats-Unis, en Argentine ou au Chili, sous les figures du </w:t>
      </w:r>
      <w:r w:rsidRPr="00FB6E21">
        <w:rPr>
          <w:rFonts w:ascii="Times New Roman" w:eastAsia="Times New Roman" w:hAnsi="Times New Roman"/>
          <w:i/>
          <w:iCs/>
          <w:sz w:val="24"/>
          <w:szCs w:val="24"/>
          <w:lang w:eastAsia="fr-FR"/>
        </w:rPr>
        <w:t>removal</w:t>
      </w:r>
      <w:r w:rsidRPr="00FB6E21">
        <w:rPr>
          <w:rFonts w:ascii="Times New Roman" w:eastAsia="Times New Roman" w:hAnsi="Times New Roman"/>
          <w:sz w:val="24"/>
          <w:szCs w:val="24"/>
          <w:lang w:eastAsia="fr-FR"/>
        </w:rPr>
        <w:t xml:space="preserve"> jacksonien ou de la guerre sans quartier.</w:t>
      </w:r>
    </w:p>
    <w:p w:rsidR="002E7BCB" w:rsidRPr="002E7BCB" w:rsidRDefault="00875377" w:rsidP="001A77AA">
      <w:pPr>
        <w:numPr>
          <w:ilvl w:val="0"/>
          <w:numId w:val="3"/>
        </w:numPr>
        <w:ind w:left="426"/>
        <w:jc w:val="both"/>
        <w:rPr>
          <w:rFonts w:ascii="Times New Roman" w:hAnsi="Times New Roman"/>
          <w:sz w:val="24"/>
        </w:rPr>
      </w:pPr>
      <w:r>
        <w:rPr>
          <w:rFonts w:ascii="Times New Roman" w:eastAsia="Times New Roman" w:hAnsi="Times New Roman"/>
          <w:sz w:val="24"/>
          <w:szCs w:val="24"/>
          <w:lang w:eastAsia="fr-FR"/>
        </w:rPr>
        <w:t xml:space="preserve">Le deuxième </w:t>
      </w:r>
      <w:r w:rsidR="003A6356" w:rsidRPr="002E7BCB">
        <w:rPr>
          <w:rFonts w:ascii="Times New Roman" w:eastAsia="Times New Roman" w:hAnsi="Times New Roman"/>
          <w:sz w:val="24"/>
          <w:szCs w:val="24"/>
          <w:lang w:eastAsia="fr-FR"/>
        </w:rPr>
        <w:t>thème concerne la reconstruction d’un passé indigène au cours du XVIII</w:t>
      </w:r>
      <w:r w:rsidR="003A6356" w:rsidRPr="002E7BCB">
        <w:rPr>
          <w:rFonts w:ascii="Times New Roman" w:eastAsia="Times New Roman" w:hAnsi="Times New Roman"/>
          <w:sz w:val="24"/>
          <w:szCs w:val="24"/>
          <w:vertAlign w:val="superscript"/>
          <w:lang w:eastAsia="fr-FR"/>
        </w:rPr>
        <w:t>e</w:t>
      </w:r>
      <w:r w:rsidR="00F24418">
        <w:rPr>
          <w:rFonts w:ascii="Times New Roman" w:eastAsia="Times New Roman" w:hAnsi="Times New Roman"/>
          <w:sz w:val="24"/>
          <w:szCs w:val="24"/>
          <w:lang w:eastAsia="fr-FR"/>
        </w:rPr>
        <w:t xml:space="preserve"> siècle, visant à soutenir, notamment, </w:t>
      </w:r>
      <w:r w:rsidR="003A6356" w:rsidRPr="002E7BCB">
        <w:rPr>
          <w:rFonts w:ascii="Times New Roman" w:eastAsia="Times New Roman" w:hAnsi="Times New Roman"/>
          <w:sz w:val="24"/>
          <w:szCs w:val="24"/>
          <w:lang w:eastAsia="fr-FR"/>
        </w:rPr>
        <w:t>la position pro-américaine dans le cadre de la controverse du Nouveau Monde (Gerbi, Cañizares-Esguerra), et l’éloge des souverainetés et des lois indiennes du passé. Le débat sur la capacité politique des indigènes – comme « hommes naturels », « bons sauvages » ou peuples stupides et paresseux, « dégénérés » depuis la Conquête – se trouve en arrière-plan ; il intéresse direct</w:t>
      </w:r>
      <w:r w:rsidR="00F24418">
        <w:rPr>
          <w:rFonts w:ascii="Times New Roman" w:eastAsia="Times New Roman" w:hAnsi="Times New Roman"/>
          <w:sz w:val="24"/>
          <w:szCs w:val="24"/>
          <w:lang w:eastAsia="fr-FR"/>
        </w:rPr>
        <w:t xml:space="preserve">ement l’intégration des autochtones </w:t>
      </w:r>
      <w:r w:rsidR="003A6356" w:rsidRPr="002E7BCB">
        <w:rPr>
          <w:rFonts w:ascii="Times New Roman" w:eastAsia="Times New Roman" w:hAnsi="Times New Roman"/>
          <w:sz w:val="24"/>
          <w:szCs w:val="24"/>
          <w:lang w:eastAsia="fr-FR"/>
        </w:rPr>
        <w:t>à la citoyenneté.</w:t>
      </w:r>
    </w:p>
    <w:p w:rsidR="00680462" w:rsidRPr="002E7BCB" w:rsidRDefault="00620939" w:rsidP="001A77AA">
      <w:pPr>
        <w:numPr>
          <w:ilvl w:val="0"/>
          <w:numId w:val="3"/>
        </w:numPr>
        <w:ind w:left="426"/>
        <w:jc w:val="both"/>
        <w:rPr>
          <w:rFonts w:ascii="Times New Roman" w:hAnsi="Times New Roman"/>
          <w:sz w:val="24"/>
        </w:rPr>
      </w:pPr>
      <w:r w:rsidRPr="002E7BCB">
        <w:rPr>
          <w:rFonts w:ascii="Times New Roman" w:eastAsia="Times New Roman" w:hAnsi="Times New Roman"/>
          <w:sz w:val="24"/>
          <w:szCs w:val="24"/>
          <w:lang w:eastAsia="fr-FR"/>
        </w:rPr>
        <w:t xml:space="preserve">Le troisième thème rappelle que les souverainetés européennes et les formes d’Etat qui les mettent en pratique ne sont pas déconnectées des expériences américaines et africaines de ces mêmes Etats au travers de la colonisation </w:t>
      </w:r>
      <w:r w:rsidR="00793458" w:rsidRPr="002E7BCB">
        <w:rPr>
          <w:rFonts w:ascii="Times New Roman" w:eastAsia="Times New Roman" w:hAnsi="Times New Roman"/>
          <w:sz w:val="24"/>
          <w:szCs w:val="24"/>
          <w:lang w:eastAsia="fr-FR"/>
        </w:rPr>
        <w:t xml:space="preserve">ultramarine </w:t>
      </w:r>
      <w:r w:rsidRPr="002E7BCB">
        <w:rPr>
          <w:rFonts w:ascii="Times New Roman" w:eastAsia="Times New Roman" w:hAnsi="Times New Roman"/>
          <w:sz w:val="24"/>
          <w:szCs w:val="24"/>
          <w:lang w:eastAsia="fr-FR"/>
        </w:rPr>
        <w:t>et de la gouvernance impériale.</w:t>
      </w:r>
      <w:r w:rsidR="00FB4794" w:rsidRPr="002E7BCB">
        <w:rPr>
          <w:rFonts w:ascii="Times New Roman" w:eastAsia="Times New Roman" w:hAnsi="Times New Roman"/>
          <w:sz w:val="24"/>
          <w:szCs w:val="24"/>
          <w:lang w:eastAsia="fr-FR"/>
        </w:rPr>
        <w:t xml:space="preserve"> La souveraineté se construit dans un processus social, religieux, philosophique et politique complexe dans lequel la dimension impériale et/ou coloniale est partie prenante des débats. S’il ne faut pas réduire la souveraineté indigène à un essentialisme sans histoire, l’avertissement vaut tout autant pour celle(s) des Européens qui n’arrivent pas en Afrique et en Amérique avec une Souveraineté </w:t>
      </w:r>
      <w:r w:rsidR="00F24418">
        <w:rPr>
          <w:rFonts w:ascii="Times New Roman" w:eastAsia="Times New Roman" w:hAnsi="Times New Roman"/>
          <w:sz w:val="24"/>
          <w:szCs w:val="24"/>
          <w:lang w:eastAsia="fr-FR"/>
        </w:rPr>
        <w:t xml:space="preserve">comme un </w:t>
      </w:r>
      <w:r w:rsidR="00FB4794" w:rsidRPr="002E7BCB">
        <w:rPr>
          <w:rFonts w:ascii="Times New Roman" w:eastAsia="Times New Roman" w:hAnsi="Times New Roman"/>
          <w:sz w:val="24"/>
          <w:szCs w:val="24"/>
          <w:lang w:eastAsia="fr-FR"/>
        </w:rPr>
        <w:t>bagage</w:t>
      </w:r>
      <w:r w:rsidR="00F24418">
        <w:rPr>
          <w:rFonts w:ascii="Times New Roman" w:eastAsia="Times New Roman" w:hAnsi="Times New Roman"/>
          <w:sz w:val="24"/>
          <w:szCs w:val="24"/>
          <w:lang w:eastAsia="fr-FR"/>
        </w:rPr>
        <w:t xml:space="preserve"> dans les soutes de leurs navires</w:t>
      </w:r>
      <w:r w:rsidR="00FB4794" w:rsidRPr="002E7BCB">
        <w:rPr>
          <w:rFonts w:ascii="Times New Roman" w:eastAsia="Times New Roman" w:hAnsi="Times New Roman"/>
          <w:sz w:val="24"/>
          <w:szCs w:val="24"/>
          <w:lang w:eastAsia="fr-FR"/>
        </w:rPr>
        <w:t xml:space="preserve">. </w:t>
      </w:r>
      <w:r w:rsidRPr="002E7BCB">
        <w:rPr>
          <w:rFonts w:ascii="Times New Roman" w:eastAsia="Times New Roman" w:hAnsi="Times New Roman"/>
          <w:sz w:val="24"/>
          <w:szCs w:val="24"/>
          <w:lang w:eastAsia="fr-FR"/>
        </w:rPr>
        <w:t>D’une manière certaine les souverainetés européennes se sont réalisées contre les souverainetés indigèn</w:t>
      </w:r>
      <w:r w:rsidR="00793458" w:rsidRPr="002E7BCB">
        <w:rPr>
          <w:rFonts w:ascii="Times New Roman" w:eastAsia="Times New Roman" w:hAnsi="Times New Roman"/>
          <w:sz w:val="24"/>
          <w:szCs w:val="24"/>
          <w:lang w:eastAsia="fr-FR"/>
        </w:rPr>
        <w:t>es. Tout contre précisém</w:t>
      </w:r>
      <w:r w:rsidR="00600E0E" w:rsidRPr="002E7BCB">
        <w:rPr>
          <w:rFonts w:ascii="Times New Roman" w:eastAsia="Times New Roman" w:hAnsi="Times New Roman"/>
          <w:sz w:val="24"/>
          <w:szCs w:val="24"/>
          <w:lang w:eastAsia="fr-FR"/>
        </w:rPr>
        <w:t>ent. C’</w:t>
      </w:r>
      <w:r w:rsidR="00793458" w:rsidRPr="002E7BCB">
        <w:rPr>
          <w:rFonts w:ascii="Times New Roman" w:eastAsia="Times New Roman" w:hAnsi="Times New Roman"/>
          <w:sz w:val="24"/>
          <w:szCs w:val="24"/>
          <w:lang w:eastAsia="fr-FR"/>
        </w:rPr>
        <w:t xml:space="preserve">est-à-dire </w:t>
      </w:r>
      <w:r w:rsidRPr="002E7BCB">
        <w:rPr>
          <w:rFonts w:ascii="Times New Roman" w:eastAsia="Times New Roman" w:hAnsi="Times New Roman"/>
          <w:sz w:val="24"/>
          <w:szCs w:val="24"/>
          <w:lang w:eastAsia="fr-FR"/>
        </w:rPr>
        <w:t>avec</w:t>
      </w:r>
      <w:r w:rsidR="001A2308">
        <w:rPr>
          <w:rFonts w:ascii="Times New Roman" w:eastAsia="Times New Roman" w:hAnsi="Times New Roman"/>
          <w:sz w:val="24"/>
          <w:szCs w:val="24"/>
          <w:lang w:eastAsia="fr-FR"/>
        </w:rPr>
        <w:t>, aussi</w:t>
      </w:r>
      <w:r w:rsidRPr="002E7BCB">
        <w:rPr>
          <w:rFonts w:ascii="Times New Roman" w:eastAsia="Times New Roman" w:hAnsi="Times New Roman"/>
          <w:sz w:val="24"/>
          <w:szCs w:val="24"/>
          <w:lang w:eastAsia="fr-FR"/>
        </w:rPr>
        <w:t>.</w:t>
      </w:r>
    </w:p>
    <w:p w:rsidR="00600E0E" w:rsidRDefault="00600E0E" w:rsidP="00A82E96">
      <w:pPr>
        <w:jc w:val="both"/>
        <w:rPr>
          <w:rFonts w:ascii="Times New Roman" w:eastAsia="Times New Roman" w:hAnsi="Times New Roman"/>
          <w:sz w:val="24"/>
          <w:szCs w:val="24"/>
          <w:lang w:eastAsia="fr-FR"/>
        </w:rPr>
      </w:pPr>
    </w:p>
    <w:p w:rsidR="000E36EF" w:rsidRDefault="00B81EDA" w:rsidP="00A82E96">
      <w:pPr>
        <w:jc w:val="both"/>
        <w:rPr>
          <w:rFonts w:ascii="Times New Roman" w:hAnsi="Times New Roman"/>
          <w:sz w:val="24"/>
        </w:rPr>
      </w:pPr>
      <w:r>
        <w:rPr>
          <w:rFonts w:ascii="Times New Roman" w:hAnsi="Times New Roman"/>
          <w:sz w:val="24"/>
        </w:rPr>
        <w:t>Le colloque aura lieu les 24-26 mars</w:t>
      </w:r>
      <w:r w:rsidR="00875377">
        <w:rPr>
          <w:rFonts w:ascii="Times New Roman" w:hAnsi="Times New Roman"/>
          <w:sz w:val="24"/>
        </w:rPr>
        <w:t xml:space="preserve"> 2016. </w:t>
      </w:r>
      <w:r w:rsidR="00D51C59">
        <w:rPr>
          <w:rFonts w:ascii="Times New Roman" w:hAnsi="Times New Roman"/>
          <w:sz w:val="24"/>
        </w:rPr>
        <w:t>Les propositions de communication sont à envoyer</w:t>
      </w:r>
      <w:r w:rsidR="00875377">
        <w:rPr>
          <w:rFonts w:ascii="Times New Roman" w:hAnsi="Times New Roman"/>
          <w:sz w:val="24"/>
        </w:rPr>
        <w:t xml:space="preserve"> </w:t>
      </w:r>
      <w:r w:rsidR="00D51C59">
        <w:rPr>
          <w:rFonts w:ascii="Times New Roman" w:hAnsi="Times New Roman"/>
          <w:sz w:val="24"/>
        </w:rPr>
        <w:t>à l’adre</w:t>
      </w:r>
      <w:r w:rsidR="00D51C59" w:rsidRPr="00956329">
        <w:rPr>
          <w:rFonts w:ascii="Times New Roman" w:hAnsi="Times New Roman"/>
          <w:sz w:val="24"/>
          <w:szCs w:val="24"/>
        </w:rPr>
        <w:t xml:space="preserve">sse </w:t>
      </w:r>
      <w:r w:rsidR="00C6372F">
        <w:fldChar w:fldCharType="begin"/>
      </w:r>
      <w:r w:rsidR="00C6372F">
        <w:instrText xml:space="preserve"> HYPERLINK "https://webmail1c.orange.fr/webmail/fr_FR/read.html?FOLDER=SF_INBOX&amp;IDMSG=44079&amp;check=&amp;SORTBY=1" \t "_blank" </w:instrText>
      </w:r>
      <w:r w:rsidR="00C6372F">
        <w:fldChar w:fldCharType="separate"/>
      </w:r>
      <w:r w:rsidR="00956329" w:rsidRPr="00956329">
        <w:rPr>
          <w:rStyle w:val="Lienhypertexte"/>
          <w:rFonts w:ascii="Times New Roman" w:hAnsi="Times New Roman"/>
          <w:color w:val="auto"/>
          <w:sz w:val="24"/>
          <w:szCs w:val="24"/>
        </w:rPr>
        <w:t>colloquesouverainetes2016@gmail.com</w:t>
      </w:r>
      <w:r w:rsidR="00C6372F">
        <w:rPr>
          <w:rStyle w:val="Lienhypertexte"/>
          <w:rFonts w:ascii="Times New Roman" w:hAnsi="Times New Roman"/>
          <w:color w:val="auto"/>
          <w:sz w:val="24"/>
          <w:szCs w:val="24"/>
        </w:rPr>
        <w:fldChar w:fldCharType="end"/>
      </w:r>
      <w:r w:rsidR="00956329">
        <w:rPr>
          <w:rFonts w:cs="Arial"/>
          <w:color w:val="444444"/>
        </w:rPr>
        <w:t xml:space="preserve"> </w:t>
      </w:r>
      <w:r w:rsidR="00D51C59">
        <w:rPr>
          <w:rFonts w:ascii="Times New Roman" w:hAnsi="Times New Roman"/>
          <w:sz w:val="24"/>
        </w:rPr>
        <w:t>sous la forme d’un résumé de 2000 caractères</w:t>
      </w:r>
      <w:r w:rsidR="00875377">
        <w:rPr>
          <w:rFonts w:ascii="Times New Roman" w:hAnsi="Times New Roman"/>
          <w:sz w:val="24"/>
        </w:rPr>
        <w:t>. Elles prendront soin de préciser quelles sources primaires sont mobilisées pour l’étude de cas. Elles seront</w:t>
      </w:r>
      <w:r w:rsidR="00D51C59">
        <w:rPr>
          <w:rFonts w:ascii="Times New Roman" w:hAnsi="Times New Roman"/>
          <w:sz w:val="24"/>
        </w:rPr>
        <w:t xml:space="preserve"> accompagné</w:t>
      </w:r>
      <w:r w:rsidR="00875377">
        <w:rPr>
          <w:rFonts w:ascii="Times New Roman" w:hAnsi="Times New Roman"/>
          <w:sz w:val="24"/>
        </w:rPr>
        <w:t>es</w:t>
      </w:r>
      <w:r w:rsidR="00D51C59">
        <w:rPr>
          <w:rFonts w:ascii="Times New Roman" w:hAnsi="Times New Roman"/>
          <w:sz w:val="24"/>
        </w:rPr>
        <w:t xml:space="preserve"> d’une courte notice bio-b</w:t>
      </w:r>
      <w:r w:rsidR="002E7BCB">
        <w:rPr>
          <w:rFonts w:ascii="Times New Roman" w:hAnsi="Times New Roman"/>
          <w:sz w:val="24"/>
        </w:rPr>
        <w:t>ib</w:t>
      </w:r>
      <w:r w:rsidR="00D51C59">
        <w:rPr>
          <w:rFonts w:ascii="Times New Roman" w:hAnsi="Times New Roman"/>
          <w:sz w:val="24"/>
        </w:rPr>
        <w:t>liographique</w:t>
      </w:r>
      <w:r w:rsidR="002E7BCB">
        <w:rPr>
          <w:rFonts w:ascii="Times New Roman" w:hAnsi="Times New Roman"/>
          <w:sz w:val="24"/>
        </w:rPr>
        <w:t xml:space="preserve">. </w:t>
      </w:r>
      <w:r w:rsidR="00875377">
        <w:rPr>
          <w:rFonts w:ascii="Times New Roman" w:hAnsi="Times New Roman"/>
          <w:sz w:val="24"/>
        </w:rPr>
        <w:t>Elles doivent être adressées avant le 1</w:t>
      </w:r>
      <w:r w:rsidR="00875377" w:rsidRPr="00875377">
        <w:rPr>
          <w:rFonts w:ascii="Times New Roman" w:hAnsi="Times New Roman"/>
          <w:sz w:val="24"/>
          <w:vertAlign w:val="superscript"/>
        </w:rPr>
        <w:t>er</w:t>
      </w:r>
      <w:r w:rsidR="00875377">
        <w:rPr>
          <w:rFonts w:ascii="Times New Roman" w:hAnsi="Times New Roman"/>
          <w:sz w:val="24"/>
        </w:rPr>
        <w:t xml:space="preserve"> mai 2015. </w:t>
      </w:r>
      <w:r w:rsidR="002E7BCB">
        <w:rPr>
          <w:rFonts w:ascii="Times New Roman" w:hAnsi="Times New Roman"/>
          <w:sz w:val="24"/>
        </w:rPr>
        <w:t>Les candidats seront informés de la décision du comité scientifique fin juin 2015. Ces propositions peuvent être rédigées en français, en anglais et en espagnol. Ces langues seront celles du colloque.</w:t>
      </w:r>
      <w:r w:rsidR="00803096">
        <w:rPr>
          <w:rFonts w:ascii="Times New Roman" w:hAnsi="Times New Roman"/>
          <w:sz w:val="24"/>
        </w:rPr>
        <w:t xml:space="preserve"> Les frais de séjour à Nantes (dont quatre nuits d’hôtel) seront assurés par le comité d’organisation du colloque pour un auteur par contribution.</w:t>
      </w:r>
    </w:p>
    <w:p w:rsidR="001A77AA" w:rsidRDefault="001A77AA" w:rsidP="00A82E96">
      <w:pPr>
        <w:jc w:val="both"/>
        <w:rPr>
          <w:rFonts w:ascii="Times New Roman" w:hAnsi="Times New Roman"/>
          <w:sz w:val="24"/>
        </w:rPr>
      </w:pPr>
    </w:p>
    <w:p w:rsidR="001A77AA" w:rsidRPr="001A77AA" w:rsidRDefault="001A77AA" w:rsidP="001A77AA">
      <w:pPr>
        <w:spacing w:line="240" w:lineRule="auto"/>
        <w:jc w:val="both"/>
        <w:rPr>
          <w:rFonts w:ascii="Times New Roman" w:hAnsi="Times New Roman"/>
          <w:b/>
          <w:sz w:val="24"/>
          <w:szCs w:val="24"/>
        </w:rPr>
      </w:pPr>
      <w:r w:rsidRPr="001A77AA">
        <w:rPr>
          <w:rFonts w:ascii="Times New Roman" w:hAnsi="Times New Roman"/>
          <w:b/>
          <w:sz w:val="24"/>
          <w:szCs w:val="24"/>
        </w:rPr>
        <w:t>Comité d’organisation</w:t>
      </w:r>
    </w:p>
    <w:p w:rsidR="001A77AA" w:rsidRPr="001A77AA" w:rsidRDefault="001A77AA" w:rsidP="001A77AA">
      <w:pPr>
        <w:spacing w:after="40" w:line="240" w:lineRule="auto"/>
        <w:jc w:val="both"/>
        <w:rPr>
          <w:rFonts w:ascii="Times New Roman" w:hAnsi="Times New Roman"/>
          <w:sz w:val="24"/>
          <w:szCs w:val="24"/>
        </w:rPr>
      </w:pPr>
      <w:r w:rsidRPr="001A77AA">
        <w:rPr>
          <w:rFonts w:ascii="Times New Roman" w:hAnsi="Times New Roman"/>
          <w:sz w:val="24"/>
          <w:szCs w:val="24"/>
        </w:rPr>
        <w:t>Yann Lignereux, Université de Nantes, Centre de Recherches en Histoire Internationale et Atlantique.</w:t>
      </w:r>
    </w:p>
    <w:p w:rsidR="001A77AA" w:rsidRPr="001A77AA" w:rsidRDefault="001A77AA" w:rsidP="001A77AA">
      <w:pPr>
        <w:spacing w:after="40" w:line="240" w:lineRule="auto"/>
        <w:jc w:val="both"/>
        <w:rPr>
          <w:rFonts w:ascii="Times New Roman" w:hAnsi="Times New Roman"/>
          <w:sz w:val="24"/>
          <w:szCs w:val="24"/>
        </w:rPr>
      </w:pPr>
      <w:r w:rsidRPr="001A77AA">
        <w:rPr>
          <w:rFonts w:ascii="Times New Roman" w:hAnsi="Times New Roman"/>
          <w:sz w:val="24"/>
          <w:szCs w:val="24"/>
        </w:rPr>
        <w:t>Luis Mora Rodríguez, Universidad del Costa Rica, Institut d’Etudes Avancées de Nantes.</w:t>
      </w:r>
    </w:p>
    <w:p w:rsidR="001A77AA" w:rsidRPr="001A77AA" w:rsidRDefault="001A77AA" w:rsidP="001A77AA">
      <w:pPr>
        <w:spacing w:after="40" w:line="240" w:lineRule="auto"/>
        <w:jc w:val="both"/>
        <w:rPr>
          <w:rFonts w:ascii="Times New Roman" w:hAnsi="Times New Roman"/>
          <w:sz w:val="24"/>
          <w:szCs w:val="24"/>
        </w:rPr>
      </w:pPr>
      <w:r>
        <w:rPr>
          <w:rFonts w:ascii="Times New Roman" w:hAnsi="Times New Roman"/>
          <w:sz w:val="24"/>
          <w:szCs w:val="24"/>
        </w:rPr>
        <w:t xml:space="preserve">Grégory Wallerick, </w:t>
      </w:r>
      <w:r w:rsidRPr="001A77AA">
        <w:rPr>
          <w:rFonts w:ascii="Times New Roman" w:hAnsi="Times New Roman"/>
          <w:sz w:val="24"/>
          <w:szCs w:val="24"/>
        </w:rPr>
        <w:t>Université de Nantes, Centre de Recherches en Histoire Internationale et Atlantique.</w:t>
      </w:r>
    </w:p>
    <w:p w:rsidR="001A77AA" w:rsidRPr="001A77AA" w:rsidRDefault="001A77AA" w:rsidP="001A77AA">
      <w:pPr>
        <w:spacing w:after="40" w:line="240" w:lineRule="auto"/>
        <w:jc w:val="both"/>
        <w:rPr>
          <w:rFonts w:ascii="Times New Roman" w:hAnsi="Times New Roman"/>
          <w:sz w:val="24"/>
          <w:szCs w:val="24"/>
        </w:rPr>
      </w:pPr>
      <w:r>
        <w:rPr>
          <w:rFonts w:ascii="Times New Roman" w:hAnsi="Times New Roman"/>
          <w:sz w:val="24"/>
          <w:szCs w:val="24"/>
        </w:rPr>
        <w:t xml:space="preserve">Clément Thibaud, </w:t>
      </w:r>
      <w:r w:rsidRPr="001A77AA">
        <w:rPr>
          <w:rFonts w:ascii="Times New Roman" w:hAnsi="Times New Roman"/>
          <w:sz w:val="24"/>
          <w:szCs w:val="24"/>
        </w:rPr>
        <w:t>Université de Nantes, Centre de Recherches en Histoire Internationale et Atlantique.</w:t>
      </w:r>
    </w:p>
    <w:p w:rsidR="001A77AA" w:rsidRPr="001A77AA" w:rsidRDefault="001A77AA" w:rsidP="001A77AA">
      <w:pPr>
        <w:spacing w:after="40" w:line="240" w:lineRule="auto"/>
        <w:jc w:val="both"/>
        <w:rPr>
          <w:rFonts w:ascii="Times New Roman" w:hAnsi="Times New Roman"/>
          <w:b/>
          <w:sz w:val="24"/>
          <w:szCs w:val="24"/>
        </w:rPr>
      </w:pPr>
    </w:p>
    <w:p w:rsidR="001A77AA" w:rsidRPr="001A77AA" w:rsidRDefault="001A77AA" w:rsidP="001A77AA">
      <w:pPr>
        <w:spacing w:line="240" w:lineRule="auto"/>
        <w:jc w:val="both"/>
        <w:rPr>
          <w:rFonts w:ascii="Times New Roman" w:hAnsi="Times New Roman"/>
          <w:b/>
          <w:sz w:val="24"/>
          <w:szCs w:val="24"/>
        </w:rPr>
      </w:pPr>
      <w:r w:rsidRPr="001A77AA">
        <w:rPr>
          <w:rFonts w:ascii="Times New Roman" w:hAnsi="Times New Roman"/>
          <w:b/>
          <w:sz w:val="24"/>
          <w:szCs w:val="24"/>
        </w:rPr>
        <w:t>Comité scientifique</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 xml:space="preserve">Antonio de Almeida Mendes, </w:t>
      </w:r>
      <w:r w:rsidRPr="001A77AA">
        <w:rPr>
          <w:rFonts w:ascii="Times New Roman" w:hAnsi="Times New Roman"/>
          <w:sz w:val="24"/>
          <w:szCs w:val="24"/>
        </w:rPr>
        <w:t>Université de Nantes, CRHIA.</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Nadine Béligand, Université Lyon II-LARHRA</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Capucine Boidin, Université Paris III-Sorbonne Nouvelle, IHEAL</w:t>
      </w:r>
      <w:r>
        <w:rPr>
          <w:rFonts w:ascii="Times New Roman" w:hAnsi="Times New Roman"/>
          <w:sz w:val="24"/>
          <w:szCs w:val="24"/>
          <w:lang w:eastAsia="fr-FR"/>
        </w:rPr>
        <w:t>.</w:t>
      </w:r>
    </w:p>
    <w:p w:rsidR="001A77AA" w:rsidRPr="00D53BC2" w:rsidRDefault="001A77AA" w:rsidP="001A77AA">
      <w:pPr>
        <w:spacing w:after="40" w:line="240" w:lineRule="auto"/>
        <w:jc w:val="both"/>
        <w:rPr>
          <w:rFonts w:ascii="Times New Roman" w:hAnsi="Times New Roman"/>
          <w:sz w:val="24"/>
          <w:szCs w:val="24"/>
          <w:lang w:eastAsia="fr-FR"/>
        </w:rPr>
      </w:pPr>
      <w:r w:rsidRPr="00D53BC2">
        <w:rPr>
          <w:rFonts w:ascii="Times New Roman" w:hAnsi="Times New Roman"/>
          <w:sz w:val="24"/>
          <w:szCs w:val="24"/>
          <w:lang w:eastAsia="fr-FR"/>
        </w:rPr>
        <w:t>Ângela Domingues, Universidade Nova de Lisboa, CHAM-Açores</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Marcela Echeverri, Yale University</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Eduardo França Paiva, Universidade Federal de Minas Gerais, CEPAMM</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Thomas Grillot, Centre Nationale de la Recherche Scientifique-EHESS (CENA)</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Gilles Havard, Centre Nationale de la Recherche Scientifique-EHESS (CENA)</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Michel Morin, Université de Montréal</w:t>
      </w:r>
      <w:r>
        <w:rPr>
          <w:rFonts w:ascii="Times New Roman" w:hAnsi="Times New Roman"/>
          <w:sz w:val="24"/>
          <w:szCs w:val="24"/>
          <w:lang w:eastAsia="fr-FR"/>
        </w:rPr>
        <w:t>.</w:t>
      </w:r>
    </w:p>
    <w:p w:rsidR="001A77AA" w:rsidRPr="00D53BC2" w:rsidRDefault="001A77AA" w:rsidP="001A77AA">
      <w:pPr>
        <w:widowControl w:val="0"/>
        <w:autoSpaceDE w:val="0"/>
        <w:autoSpaceDN w:val="0"/>
        <w:adjustRightInd w:val="0"/>
        <w:spacing w:after="40" w:line="240" w:lineRule="auto"/>
        <w:rPr>
          <w:rFonts w:ascii="Times New Roman" w:hAnsi="Times New Roman"/>
          <w:sz w:val="24"/>
          <w:szCs w:val="24"/>
          <w:lang w:eastAsia="fr-FR"/>
        </w:rPr>
      </w:pPr>
      <w:r w:rsidRPr="00D53BC2">
        <w:rPr>
          <w:rFonts w:ascii="Times New Roman" w:hAnsi="Times New Roman"/>
          <w:sz w:val="24"/>
          <w:szCs w:val="24"/>
          <w:lang w:eastAsia="fr-FR"/>
        </w:rPr>
        <w:t xml:space="preserve">Isabelle Surun, Université Lille III Charles-de-Gaulle, IRHIS - </w:t>
      </w:r>
      <w:r w:rsidRPr="001A77AA">
        <w:rPr>
          <w:rFonts w:ascii="Times New Roman" w:hAnsi="Times New Roman"/>
          <w:sz w:val="24"/>
          <w:szCs w:val="24"/>
        </w:rPr>
        <w:t>Institut d’Etudes Avancées de Nantes.</w:t>
      </w:r>
    </w:p>
    <w:p w:rsidR="001A77AA" w:rsidRPr="00956329" w:rsidRDefault="001A77AA" w:rsidP="00D25EF7">
      <w:pPr>
        <w:widowControl w:val="0"/>
        <w:autoSpaceDE w:val="0"/>
        <w:autoSpaceDN w:val="0"/>
        <w:adjustRightInd w:val="0"/>
        <w:spacing w:after="40" w:line="240" w:lineRule="auto"/>
        <w:rPr>
          <w:rFonts w:ascii="Times New Roman" w:hAnsi="Times New Roman"/>
          <w:sz w:val="24"/>
          <w:szCs w:val="24"/>
        </w:rPr>
      </w:pPr>
      <w:r w:rsidRPr="00D53BC2">
        <w:rPr>
          <w:rFonts w:ascii="Times New Roman" w:hAnsi="Times New Roman"/>
          <w:sz w:val="24"/>
          <w:szCs w:val="24"/>
          <w:lang w:eastAsia="fr-FR"/>
        </w:rPr>
        <w:t>Bertrand Van Ruymbeke, Université Paris VIII</w:t>
      </w:r>
      <w:r>
        <w:rPr>
          <w:rFonts w:ascii="Times New Roman" w:hAnsi="Times New Roman"/>
          <w:sz w:val="24"/>
          <w:szCs w:val="24"/>
          <w:lang w:eastAsia="fr-FR"/>
        </w:rPr>
        <w:t>.</w:t>
      </w:r>
    </w:p>
    <w:sectPr w:rsidR="001A77AA" w:rsidRPr="00956329" w:rsidSect="000E36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74" w:rsidRDefault="00210D74" w:rsidP="00BA17B2">
      <w:pPr>
        <w:spacing w:after="0" w:line="240" w:lineRule="auto"/>
      </w:pPr>
      <w:r>
        <w:separator/>
      </w:r>
    </w:p>
  </w:endnote>
  <w:endnote w:type="continuationSeparator" w:id="0">
    <w:p w:rsidR="00210D74" w:rsidRDefault="00210D74" w:rsidP="00BA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74" w:rsidRDefault="00210D74" w:rsidP="00BA17B2">
      <w:pPr>
        <w:spacing w:after="0" w:line="240" w:lineRule="auto"/>
      </w:pPr>
      <w:r>
        <w:separator/>
      </w:r>
    </w:p>
  </w:footnote>
  <w:footnote w:type="continuationSeparator" w:id="0">
    <w:p w:rsidR="00210D74" w:rsidRDefault="00210D74" w:rsidP="00BA17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0E" w:rsidRDefault="00C6372F" w:rsidP="00D25EF7">
    <w:pPr>
      <w:pStyle w:val="En-tte"/>
      <w:jc w:val="right"/>
    </w:pPr>
    <w:r>
      <w:fldChar w:fldCharType="begin"/>
    </w:r>
    <w:r>
      <w:instrText xml:space="preserve"> PAGE   \* MERGEFORMAT </w:instrText>
    </w:r>
    <w:r>
      <w:fldChar w:fldCharType="separate"/>
    </w:r>
    <w:r w:rsidR="009528F2">
      <w:rPr>
        <w:noProof/>
      </w:rPr>
      <w:t>5</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10C1"/>
    <w:multiLevelType w:val="hybridMultilevel"/>
    <w:tmpl w:val="FDC2AE84"/>
    <w:lvl w:ilvl="0" w:tplc="1C206CEC">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6351C2D"/>
    <w:multiLevelType w:val="hybridMultilevel"/>
    <w:tmpl w:val="E8105A5A"/>
    <w:lvl w:ilvl="0" w:tplc="008402BA">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590ED4"/>
    <w:multiLevelType w:val="hybridMultilevel"/>
    <w:tmpl w:val="A4DC2F8A"/>
    <w:lvl w:ilvl="0" w:tplc="D57A672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B2"/>
    <w:rsid w:val="000E36EF"/>
    <w:rsid w:val="00181822"/>
    <w:rsid w:val="001926D0"/>
    <w:rsid w:val="001A08A4"/>
    <w:rsid w:val="001A2308"/>
    <w:rsid w:val="001A77AA"/>
    <w:rsid w:val="001E2BB1"/>
    <w:rsid w:val="00210D74"/>
    <w:rsid w:val="00247494"/>
    <w:rsid w:val="002B2C6E"/>
    <w:rsid w:val="002E7BCB"/>
    <w:rsid w:val="00346433"/>
    <w:rsid w:val="003A6356"/>
    <w:rsid w:val="00476081"/>
    <w:rsid w:val="004F5EC9"/>
    <w:rsid w:val="00534654"/>
    <w:rsid w:val="00564F8C"/>
    <w:rsid w:val="005B3686"/>
    <w:rsid w:val="005F0A96"/>
    <w:rsid w:val="00600E0E"/>
    <w:rsid w:val="00620939"/>
    <w:rsid w:val="006267DB"/>
    <w:rsid w:val="0065317D"/>
    <w:rsid w:val="00680462"/>
    <w:rsid w:val="006941CA"/>
    <w:rsid w:val="006C1113"/>
    <w:rsid w:val="00735FAA"/>
    <w:rsid w:val="00757825"/>
    <w:rsid w:val="00793458"/>
    <w:rsid w:val="00803096"/>
    <w:rsid w:val="008057D1"/>
    <w:rsid w:val="00806B79"/>
    <w:rsid w:val="008427CD"/>
    <w:rsid w:val="00875377"/>
    <w:rsid w:val="008C5753"/>
    <w:rsid w:val="009528F2"/>
    <w:rsid w:val="0095438E"/>
    <w:rsid w:val="00956329"/>
    <w:rsid w:val="00986130"/>
    <w:rsid w:val="009A2259"/>
    <w:rsid w:val="00A0424E"/>
    <w:rsid w:val="00A52C12"/>
    <w:rsid w:val="00A5560A"/>
    <w:rsid w:val="00A82E96"/>
    <w:rsid w:val="00AD0147"/>
    <w:rsid w:val="00B00AC1"/>
    <w:rsid w:val="00B61A2B"/>
    <w:rsid w:val="00B81EDA"/>
    <w:rsid w:val="00BA17B2"/>
    <w:rsid w:val="00BD3F68"/>
    <w:rsid w:val="00BE1C40"/>
    <w:rsid w:val="00C2067C"/>
    <w:rsid w:val="00C21251"/>
    <w:rsid w:val="00C6372F"/>
    <w:rsid w:val="00C6672D"/>
    <w:rsid w:val="00CB47E7"/>
    <w:rsid w:val="00CB5AC6"/>
    <w:rsid w:val="00D10CA7"/>
    <w:rsid w:val="00D141A6"/>
    <w:rsid w:val="00D25C9B"/>
    <w:rsid w:val="00D25EF7"/>
    <w:rsid w:val="00D45A0F"/>
    <w:rsid w:val="00D51C59"/>
    <w:rsid w:val="00EC7D23"/>
    <w:rsid w:val="00F24418"/>
    <w:rsid w:val="00F25137"/>
    <w:rsid w:val="00FB4794"/>
    <w:rsid w:val="00FB4B2E"/>
    <w:rsid w:val="00FB6E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D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B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A17B2"/>
    <w:rPr>
      <w:sz w:val="20"/>
      <w:szCs w:val="20"/>
    </w:rPr>
  </w:style>
  <w:style w:type="character" w:customStyle="1" w:styleId="NotedebasdepageCar">
    <w:name w:val="Note de bas de page Car"/>
    <w:basedOn w:val="Policepardfaut"/>
    <w:link w:val="Notedebasdepage"/>
    <w:uiPriority w:val="99"/>
    <w:rsid w:val="00BA17B2"/>
    <w:rPr>
      <w:rFonts w:ascii="Calibri" w:eastAsia="Calibri" w:hAnsi="Calibri" w:cs="Times New Roman"/>
      <w:sz w:val="20"/>
      <w:szCs w:val="20"/>
    </w:rPr>
  </w:style>
  <w:style w:type="character" w:styleId="Marquenotebasdepage">
    <w:name w:val="footnote reference"/>
    <w:basedOn w:val="Policepardfaut"/>
    <w:unhideWhenUsed/>
    <w:rsid w:val="00BA17B2"/>
    <w:rPr>
      <w:vertAlign w:val="superscript"/>
    </w:rPr>
  </w:style>
  <w:style w:type="character" w:styleId="Accentuation">
    <w:name w:val="Emphasis"/>
    <w:basedOn w:val="Policepardfaut"/>
    <w:qFormat/>
    <w:rsid w:val="00BA17B2"/>
    <w:rPr>
      <w:i/>
      <w:iCs/>
    </w:rPr>
  </w:style>
  <w:style w:type="character" w:customStyle="1" w:styleId="st1">
    <w:name w:val="st1"/>
    <w:basedOn w:val="Policepardfaut"/>
    <w:rsid w:val="00BA17B2"/>
  </w:style>
  <w:style w:type="paragraph" w:styleId="Textedebulles">
    <w:name w:val="Balloon Text"/>
    <w:basedOn w:val="Normal"/>
    <w:link w:val="TextedebullesCar"/>
    <w:uiPriority w:val="99"/>
    <w:semiHidden/>
    <w:unhideWhenUsed/>
    <w:rsid w:val="00BA17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7B2"/>
    <w:rPr>
      <w:rFonts w:ascii="Tahoma" w:eastAsia="Calibri" w:hAnsi="Tahoma" w:cs="Tahoma"/>
      <w:sz w:val="16"/>
      <w:szCs w:val="16"/>
    </w:rPr>
  </w:style>
  <w:style w:type="character" w:customStyle="1" w:styleId="Caracteresdenotaalpie">
    <w:name w:val="Caracteres de nota al pie"/>
    <w:basedOn w:val="Policepardfaut"/>
    <w:rsid w:val="00F25137"/>
    <w:rPr>
      <w:vertAlign w:val="superscript"/>
    </w:rPr>
  </w:style>
  <w:style w:type="character" w:customStyle="1" w:styleId="Appelnotedebasdep1">
    <w:name w:val="Appel note de bas de p.1"/>
    <w:basedOn w:val="Policepardfaut"/>
    <w:rsid w:val="00F25137"/>
    <w:rPr>
      <w:vertAlign w:val="superscript"/>
    </w:rPr>
  </w:style>
  <w:style w:type="character" w:customStyle="1" w:styleId="lev1">
    <w:name w:val="Élevé1"/>
    <w:basedOn w:val="Policepardfaut"/>
    <w:rsid w:val="00F25137"/>
    <w:rPr>
      <w:b/>
      <w:bCs/>
    </w:rPr>
  </w:style>
  <w:style w:type="character" w:customStyle="1" w:styleId="apple-converted-space">
    <w:name w:val="apple-converted-space"/>
    <w:basedOn w:val="Policepardfaut"/>
    <w:rsid w:val="00F25137"/>
  </w:style>
  <w:style w:type="character" w:customStyle="1" w:styleId="familyname">
    <w:name w:val="familyname"/>
    <w:basedOn w:val="Policepardfaut"/>
    <w:rsid w:val="00F25137"/>
  </w:style>
  <w:style w:type="paragraph" w:styleId="En-tte">
    <w:name w:val="header"/>
    <w:basedOn w:val="Normal"/>
    <w:link w:val="En-tteCar"/>
    <w:uiPriority w:val="99"/>
    <w:unhideWhenUsed/>
    <w:rsid w:val="00600E0E"/>
    <w:pPr>
      <w:tabs>
        <w:tab w:val="center" w:pos="4536"/>
        <w:tab w:val="right" w:pos="9072"/>
      </w:tabs>
    </w:pPr>
  </w:style>
  <w:style w:type="character" w:customStyle="1" w:styleId="En-tteCar">
    <w:name w:val="En-tête Car"/>
    <w:basedOn w:val="Policepardfaut"/>
    <w:link w:val="En-tte"/>
    <w:uiPriority w:val="99"/>
    <w:rsid w:val="00600E0E"/>
    <w:rPr>
      <w:sz w:val="22"/>
      <w:szCs w:val="22"/>
      <w:lang w:eastAsia="en-US"/>
    </w:rPr>
  </w:style>
  <w:style w:type="paragraph" w:styleId="Pieddepage">
    <w:name w:val="footer"/>
    <w:basedOn w:val="Normal"/>
    <w:link w:val="PieddepageCar"/>
    <w:uiPriority w:val="99"/>
    <w:semiHidden/>
    <w:unhideWhenUsed/>
    <w:rsid w:val="00600E0E"/>
    <w:pPr>
      <w:tabs>
        <w:tab w:val="center" w:pos="4536"/>
        <w:tab w:val="right" w:pos="9072"/>
      </w:tabs>
    </w:pPr>
  </w:style>
  <w:style w:type="character" w:customStyle="1" w:styleId="PieddepageCar">
    <w:name w:val="Pied de page Car"/>
    <w:basedOn w:val="Policepardfaut"/>
    <w:link w:val="Pieddepage"/>
    <w:uiPriority w:val="99"/>
    <w:semiHidden/>
    <w:rsid w:val="00600E0E"/>
    <w:rPr>
      <w:sz w:val="22"/>
      <w:szCs w:val="22"/>
      <w:lang w:eastAsia="en-US"/>
    </w:rPr>
  </w:style>
  <w:style w:type="paragraph" w:styleId="Paragraphedeliste">
    <w:name w:val="List Paragraph"/>
    <w:basedOn w:val="Normal"/>
    <w:uiPriority w:val="34"/>
    <w:qFormat/>
    <w:rsid w:val="002E7BCB"/>
    <w:pPr>
      <w:ind w:left="708"/>
    </w:pPr>
  </w:style>
  <w:style w:type="character" w:styleId="Lienhypertexte">
    <w:name w:val="Hyperlink"/>
    <w:basedOn w:val="Policepardfaut"/>
    <w:uiPriority w:val="99"/>
    <w:semiHidden/>
    <w:unhideWhenUsed/>
    <w:rsid w:val="00956329"/>
    <w:rPr>
      <w:strike w:val="0"/>
      <w:dstrike w:val="0"/>
      <w:color w:val="444444"/>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B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A17B2"/>
    <w:rPr>
      <w:sz w:val="20"/>
      <w:szCs w:val="20"/>
    </w:rPr>
  </w:style>
  <w:style w:type="character" w:customStyle="1" w:styleId="NotedebasdepageCar">
    <w:name w:val="Note de bas de page Car"/>
    <w:basedOn w:val="Policepardfaut"/>
    <w:link w:val="Notedebasdepage"/>
    <w:uiPriority w:val="99"/>
    <w:rsid w:val="00BA17B2"/>
    <w:rPr>
      <w:rFonts w:ascii="Calibri" w:eastAsia="Calibri" w:hAnsi="Calibri" w:cs="Times New Roman"/>
      <w:sz w:val="20"/>
      <w:szCs w:val="20"/>
    </w:rPr>
  </w:style>
  <w:style w:type="character" w:styleId="Marquenotebasdepage">
    <w:name w:val="footnote reference"/>
    <w:basedOn w:val="Policepardfaut"/>
    <w:unhideWhenUsed/>
    <w:rsid w:val="00BA17B2"/>
    <w:rPr>
      <w:vertAlign w:val="superscript"/>
    </w:rPr>
  </w:style>
  <w:style w:type="character" w:styleId="Accentuation">
    <w:name w:val="Emphasis"/>
    <w:basedOn w:val="Policepardfaut"/>
    <w:qFormat/>
    <w:rsid w:val="00BA17B2"/>
    <w:rPr>
      <w:i/>
      <w:iCs/>
    </w:rPr>
  </w:style>
  <w:style w:type="character" w:customStyle="1" w:styleId="st1">
    <w:name w:val="st1"/>
    <w:basedOn w:val="Policepardfaut"/>
    <w:rsid w:val="00BA17B2"/>
  </w:style>
  <w:style w:type="paragraph" w:styleId="Textedebulles">
    <w:name w:val="Balloon Text"/>
    <w:basedOn w:val="Normal"/>
    <w:link w:val="TextedebullesCar"/>
    <w:uiPriority w:val="99"/>
    <w:semiHidden/>
    <w:unhideWhenUsed/>
    <w:rsid w:val="00BA17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7B2"/>
    <w:rPr>
      <w:rFonts w:ascii="Tahoma" w:eastAsia="Calibri" w:hAnsi="Tahoma" w:cs="Tahoma"/>
      <w:sz w:val="16"/>
      <w:szCs w:val="16"/>
    </w:rPr>
  </w:style>
  <w:style w:type="character" w:customStyle="1" w:styleId="Caracteresdenotaalpie">
    <w:name w:val="Caracteres de nota al pie"/>
    <w:basedOn w:val="Policepardfaut"/>
    <w:rsid w:val="00F25137"/>
    <w:rPr>
      <w:vertAlign w:val="superscript"/>
    </w:rPr>
  </w:style>
  <w:style w:type="character" w:customStyle="1" w:styleId="Appelnotedebasdep1">
    <w:name w:val="Appel note de bas de p.1"/>
    <w:basedOn w:val="Policepardfaut"/>
    <w:rsid w:val="00F25137"/>
    <w:rPr>
      <w:vertAlign w:val="superscript"/>
    </w:rPr>
  </w:style>
  <w:style w:type="character" w:customStyle="1" w:styleId="lev1">
    <w:name w:val="Élevé1"/>
    <w:basedOn w:val="Policepardfaut"/>
    <w:rsid w:val="00F25137"/>
    <w:rPr>
      <w:b/>
      <w:bCs/>
    </w:rPr>
  </w:style>
  <w:style w:type="character" w:customStyle="1" w:styleId="apple-converted-space">
    <w:name w:val="apple-converted-space"/>
    <w:basedOn w:val="Policepardfaut"/>
    <w:rsid w:val="00F25137"/>
  </w:style>
  <w:style w:type="character" w:customStyle="1" w:styleId="familyname">
    <w:name w:val="familyname"/>
    <w:basedOn w:val="Policepardfaut"/>
    <w:rsid w:val="00F25137"/>
  </w:style>
  <w:style w:type="paragraph" w:styleId="En-tte">
    <w:name w:val="header"/>
    <w:basedOn w:val="Normal"/>
    <w:link w:val="En-tteCar"/>
    <w:uiPriority w:val="99"/>
    <w:unhideWhenUsed/>
    <w:rsid w:val="00600E0E"/>
    <w:pPr>
      <w:tabs>
        <w:tab w:val="center" w:pos="4536"/>
        <w:tab w:val="right" w:pos="9072"/>
      </w:tabs>
    </w:pPr>
  </w:style>
  <w:style w:type="character" w:customStyle="1" w:styleId="En-tteCar">
    <w:name w:val="En-tête Car"/>
    <w:basedOn w:val="Policepardfaut"/>
    <w:link w:val="En-tte"/>
    <w:uiPriority w:val="99"/>
    <w:rsid w:val="00600E0E"/>
    <w:rPr>
      <w:sz w:val="22"/>
      <w:szCs w:val="22"/>
      <w:lang w:eastAsia="en-US"/>
    </w:rPr>
  </w:style>
  <w:style w:type="paragraph" w:styleId="Pieddepage">
    <w:name w:val="footer"/>
    <w:basedOn w:val="Normal"/>
    <w:link w:val="PieddepageCar"/>
    <w:uiPriority w:val="99"/>
    <w:semiHidden/>
    <w:unhideWhenUsed/>
    <w:rsid w:val="00600E0E"/>
    <w:pPr>
      <w:tabs>
        <w:tab w:val="center" w:pos="4536"/>
        <w:tab w:val="right" w:pos="9072"/>
      </w:tabs>
    </w:pPr>
  </w:style>
  <w:style w:type="character" w:customStyle="1" w:styleId="PieddepageCar">
    <w:name w:val="Pied de page Car"/>
    <w:basedOn w:val="Policepardfaut"/>
    <w:link w:val="Pieddepage"/>
    <w:uiPriority w:val="99"/>
    <w:semiHidden/>
    <w:rsid w:val="00600E0E"/>
    <w:rPr>
      <w:sz w:val="22"/>
      <w:szCs w:val="22"/>
      <w:lang w:eastAsia="en-US"/>
    </w:rPr>
  </w:style>
  <w:style w:type="paragraph" w:styleId="Paragraphedeliste">
    <w:name w:val="List Paragraph"/>
    <w:basedOn w:val="Normal"/>
    <w:uiPriority w:val="34"/>
    <w:qFormat/>
    <w:rsid w:val="002E7BCB"/>
    <w:pPr>
      <w:ind w:left="708"/>
    </w:pPr>
  </w:style>
  <w:style w:type="character" w:styleId="Lienhypertexte">
    <w:name w:val="Hyperlink"/>
    <w:basedOn w:val="Policepardfaut"/>
    <w:uiPriority w:val="99"/>
    <w:semiHidden/>
    <w:unhideWhenUsed/>
    <w:rsid w:val="00956329"/>
    <w:rPr>
      <w:strike w:val="0"/>
      <w:dstrike w:val="0"/>
      <w:color w:val="44444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1745-FDA0-0A42-AC6A-9970AC3B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2245</Words>
  <Characters>12350</Characters>
  <Application>Microsoft Macintosh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14566</CharactersWithSpaces>
  <SharedDoc>false</SharedDoc>
  <HLinks>
    <vt:vector size="6" baseType="variant">
      <vt:variant>
        <vt:i4>262216</vt:i4>
      </vt:variant>
      <vt:variant>
        <vt:i4>0</vt:i4>
      </vt:variant>
      <vt:variant>
        <vt:i4>0</vt:i4>
      </vt:variant>
      <vt:variant>
        <vt:i4>5</vt:i4>
      </vt:variant>
      <vt:variant>
        <vt:lpwstr>https://webmail1c.orange.fr/webmail/fr_FR/read.html?FOLDER=SF_INBOX&amp;IDMSG=44079&amp;check=&amp;SORTBY=1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Lignereux-y</dc:creator>
  <cp:keywords/>
  <cp:lastModifiedBy>THIBAUD-C</cp:lastModifiedBy>
  <cp:revision>4</cp:revision>
  <cp:lastPrinted>2015-01-29T06:44:00Z</cp:lastPrinted>
  <dcterms:created xsi:type="dcterms:W3CDTF">2015-03-23T07:46:00Z</dcterms:created>
  <dcterms:modified xsi:type="dcterms:W3CDTF">2015-03-26T11:32:00Z</dcterms:modified>
</cp:coreProperties>
</file>